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Nguku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February 2004</w:t>
      </w:r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267/02</w:t>
      </w:r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 and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Criminal law – Theft – Stealing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cheque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by servant – Whether handwriting expert’s opinion was</w:t>
      </w:r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sufficient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base conviction.</w:t>
      </w:r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Criminal procedure – Charge sheet – Typographical error regarding number of stolen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cheque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</w:t>
      </w:r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charge sheet fatally defective.</w:t>
      </w:r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Handwriting expert – Conclusive opinion as to similarity of handwritings given by expert</w:t>
      </w:r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said opinion improper.</w:t>
      </w:r>
    </w:p>
    <w:p w:rsidR="009377FC" w:rsidRDefault="009A5159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9377FC" w:rsidRDefault="009377FC" w:rsidP="009A51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Tunoi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 and Onyango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Otieno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AJA: </w:t>
      </w:r>
      <w:r>
        <w:rPr>
          <w:rFonts w:ascii="Times New Roman" w:hAnsi="Times New Roman" w:cs="Times New Roman"/>
          <w:color w:val="000000"/>
        </w:rPr>
        <w:t xml:space="preserve">The Appellant in this appeal, Silvanus </w:t>
      </w:r>
      <w:proofErr w:type="spellStart"/>
      <w:r>
        <w:rPr>
          <w:rFonts w:ascii="Times New Roman" w:hAnsi="Times New Roman" w:cs="Times New Roman"/>
          <w:color w:val="000000"/>
        </w:rPr>
        <w:t>Njuki</w:t>
      </w:r>
      <w:proofErr w:type="spellEnd"/>
      <w:r w:rsidR="009A515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Nguku</w:t>
      </w:r>
      <w:proofErr w:type="spellEnd"/>
      <w:r>
        <w:rPr>
          <w:rFonts w:ascii="Times New Roman" w:hAnsi="Times New Roman" w:cs="Times New Roman"/>
          <w:color w:val="000000"/>
        </w:rPr>
        <w:t>, was charged before the Chief Magistrate’s Court at Nairobi with three counts. He pleaded not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guilty to all the three counts but was after full hearing found guilty and convicted on counts 1 and 3 by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Magistrate. He was sentenced to serve 10 months’ imprisonment in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of each count and the sentences were to run concurrently. He was dissatisfied with the decision of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court and he filed an appeal against the convictions in the superior court. After the appeal was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heard, the superior court in a considered judgment allowed the appeal on count 3 but upheld conviction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count 1. Count 1 was that of stealing by a person employed in the Public Service contrary to section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280 of the Penal Code and its particulars were that on diverse days between 19 and 25 November 1997 at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Ministry of Foreign Affairs and International Co-operation headquarters, Nairobi in Nairobi within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Nairobi area, jointly with others not before court being a person employed in the Public Service namely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Ministry of Foreign Affairs he stole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leaf number 15011 valued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 the property of the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Ministry of Foreign Affairs which came into his possession by virtue of his employment.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facts that gave rise to the same charge were that PW 9, Ann </w:t>
      </w:r>
      <w:proofErr w:type="spellStart"/>
      <w:r>
        <w:rPr>
          <w:rFonts w:ascii="Times New Roman" w:hAnsi="Times New Roman" w:cs="Times New Roman"/>
          <w:color w:val="000000"/>
        </w:rPr>
        <w:t>Nduku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Mutua</w:t>
      </w:r>
      <w:proofErr w:type="spellEnd"/>
      <w:r>
        <w:rPr>
          <w:rFonts w:ascii="Times New Roman" w:hAnsi="Times New Roman" w:cs="Times New Roman"/>
          <w:color w:val="000000"/>
        </w:rPr>
        <w:t>, who was then an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advocate in Nairobi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as such advocate had rendered legal services to the Uganda High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Commission. She was entitled to some fees from the same Commission in respect of services rendered.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demanded the payment and Uganda High Commission forwarded to her a letter Exhibit 1 in which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was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for the amount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190 081,25. This letter was forwarded to her through the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Ministry of Foreign Affairs in Nairobi. The totality of the evidence on record shows that the letter plus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was received at the Foreign Affairs secret registry, in Nairobi and was forwarded to open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registry in a file. The file plus the letter and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were received at the open registry and forwarded to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African Division where PW6, Bruce </w:t>
      </w:r>
      <w:proofErr w:type="spellStart"/>
      <w:r>
        <w:rPr>
          <w:rFonts w:ascii="Times New Roman" w:hAnsi="Times New Roman" w:cs="Times New Roman"/>
          <w:color w:val="000000"/>
        </w:rPr>
        <w:t>Madete</w:t>
      </w:r>
      <w:proofErr w:type="spellEnd"/>
      <w:r>
        <w:rPr>
          <w:rFonts w:ascii="Times New Roman" w:hAnsi="Times New Roman" w:cs="Times New Roman"/>
          <w:color w:val="000000"/>
        </w:rPr>
        <w:t>, received the same on 20 November 1997 and marked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file to be taken to the legal section. </w:t>
      </w:r>
      <w:proofErr w:type="spellStart"/>
      <w:r>
        <w:rPr>
          <w:rFonts w:ascii="Times New Roman" w:hAnsi="Times New Roman" w:cs="Times New Roman"/>
          <w:color w:val="000000"/>
        </w:rPr>
        <w:t>Madete</w:t>
      </w:r>
      <w:proofErr w:type="spellEnd"/>
      <w:r>
        <w:rPr>
          <w:rFonts w:ascii="Times New Roman" w:hAnsi="Times New Roman" w:cs="Times New Roman"/>
          <w:color w:val="000000"/>
        </w:rPr>
        <w:t xml:space="preserve"> put the file with letters and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in the “out” tray so as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be taken to the legal section. That was the last time that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was seen at the Foreign Affairs and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International Co-operation Headquarters in Nairobi. The file went missing together with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Later on 6 January 1998, police at CID headquarters were contacted and PW16, number 214794 IP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Daniel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together with another police officer went to the offices of the Ministry where they met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Madete</w:t>
      </w:r>
      <w:proofErr w:type="spellEnd"/>
      <w:r>
        <w:rPr>
          <w:rFonts w:ascii="Times New Roman" w:hAnsi="Times New Roman" w:cs="Times New Roman"/>
          <w:color w:val="000000"/>
        </w:rPr>
        <w:t xml:space="preserve"> who reported to them that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number 150511 dated 14 November 1997 for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190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081</w:t>
      </w:r>
      <w:proofErr w:type="gramStart"/>
      <w:r>
        <w:rPr>
          <w:rFonts w:ascii="Times New Roman" w:hAnsi="Times New Roman" w:cs="Times New Roman"/>
          <w:color w:val="000000"/>
        </w:rPr>
        <w:t>,25</w:t>
      </w:r>
      <w:proofErr w:type="gramEnd"/>
      <w:r>
        <w:rPr>
          <w:rFonts w:ascii="Times New Roman" w:hAnsi="Times New Roman" w:cs="Times New Roman"/>
          <w:color w:val="000000"/>
        </w:rPr>
        <w:t xml:space="preserve"> in the name of AN </w:t>
      </w:r>
      <w:proofErr w:type="spellStart"/>
      <w:r>
        <w:rPr>
          <w:rFonts w:ascii="Times New Roman" w:hAnsi="Times New Roman" w:cs="Times New Roman"/>
          <w:color w:val="000000"/>
        </w:rPr>
        <w:t>Mutua</w:t>
      </w:r>
      <w:proofErr w:type="spellEnd"/>
      <w:r>
        <w:rPr>
          <w:rFonts w:ascii="Times New Roman" w:hAnsi="Times New Roman" w:cs="Times New Roman"/>
          <w:color w:val="000000"/>
        </w:rPr>
        <w:t xml:space="preserve"> had been received at the Ministry but disappeared from the file. They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shown various items, which were later, produced as exhibits and they carried out investigations to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ascertain the fate of the same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, which had disappeared before it was handed over to the payee,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Anne </w:t>
      </w:r>
      <w:proofErr w:type="spellStart"/>
      <w:r>
        <w:rPr>
          <w:rFonts w:ascii="Times New Roman" w:hAnsi="Times New Roman" w:cs="Times New Roman"/>
          <w:color w:val="000000"/>
        </w:rPr>
        <w:t>Nduku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Mutua</w:t>
      </w:r>
      <w:proofErr w:type="spellEnd"/>
      <w:r>
        <w:rPr>
          <w:rFonts w:ascii="Times New Roman" w:hAnsi="Times New Roman" w:cs="Times New Roman"/>
          <w:color w:val="000000"/>
        </w:rPr>
        <w:t xml:space="preserve">. The same investigation revealed that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had been deposited into a newly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opened account number 3890109 in the name of </w:t>
      </w:r>
      <w:proofErr w:type="spellStart"/>
      <w:r>
        <w:rPr>
          <w:rFonts w:ascii="Times New Roman" w:hAnsi="Times New Roman" w:cs="Times New Roman"/>
          <w:color w:val="000000"/>
        </w:rPr>
        <w:t>Mutua</w:t>
      </w:r>
      <w:proofErr w:type="spellEnd"/>
      <w:r>
        <w:rPr>
          <w:rFonts w:ascii="Times New Roman" w:hAnsi="Times New Roman" w:cs="Times New Roman"/>
          <w:color w:val="000000"/>
        </w:rPr>
        <w:t xml:space="preserve"> Anthony </w:t>
      </w:r>
      <w:proofErr w:type="spellStart"/>
      <w:r>
        <w:rPr>
          <w:rFonts w:ascii="Times New Roman" w:hAnsi="Times New Roman" w:cs="Times New Roman"/>
          <w:color w:val="000000"/>
        </w:rPr>
        <w:t>Nzuki</w:t>
      </w:r>
      <w:proofErr w:type="spellEnd"/>
      <w:r>
        <w:rPr>
          <w:rFonts w:ascii="Times New Roman" w:hAnsi="Times New Roman" w:cs="Times New Roman"/>
          <w:color w:val="000000"/>
        </w:rPr>
        <w:t xml:space="preserve"> at Barclays Bank, Haile </w:t>
      </w:r>
      <w:proofErr w:type="spellStart"/>
      <w:r>
        <w:rPr>
          <w:rFonts w:ascii="Times New Roman" w:hAnsi="Times New Roman" w:cs="Times New Roman"/>
          <w:color w:val="000000"/>
        </w:rPr>
        <w:t>Sellasie</w:t>
      </w:r>
      <w:proofErr w:type="spellEnd"/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Avenue. That account was opened on 1 December 1997. Apart from the amount paid to the bank for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opening the account, which was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3 000, no any other deposit was made into that account except the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proceeds of the same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. By the time the discovery was made, two withdrawals amounting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190 004 had been made from the </w:t>
      </w:r>
      <w:r>
        <w:rPr>
          <w:rFonts w:ascii="Times New Roman" w:hAnsi="Times New Roman" w:cs="Times New Roman"/>
          <w:color w:val="000000"/>
        </w:rPr>
        <w:lastRenderedPageBreak/>
        <w:t>account.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Inspector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and his team then went back to the Ministry’s secret registry Headquarters and took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specimen handwriting of all the clerical officers working there. He took known handwritings of the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as well. They were then forwarded to a document examiner attached to CID Headquarters and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examined by PW15, Emmanuel </w:t>
      </w:r>
      <w:proofErr w:type="spellStart"/>
      <w:r>
        <w:rPr>
          <w:rFonts w:ascii="Times New Roman" w:hAnsi="Times New Roman" w:cs="Times New Roman"/>
          <w:color w:val="000000"/>
        </w:rPr>
        <w:t>Kenga</w:t>
      </w:r>
      <w:proofErr w:type="spellEnd"/>
      <w:r>
        <w:rPr>
          <w:rFonts w:ascii="Times New Roman" w:hAnsi="Times New Roman" w:cs="Times New Roman"/>
          <w:color w:val="000000"/>
        </w:rPr>
        <w:t xml:space="preserve">. Inspector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also obtained during his investigation,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original account-opening documents for account number 3890109. These included the forms filled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specimen cards.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also obtained from the Registrar of Persons the records of the actual holder of the identity card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2892029, which was used to open the account aforesaid.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records showed that the actual holder of the identity card number 2892029 was PW8 Evan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Njagi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Magu</w:t>
      </w:r>
      <w:proofErr w:type="spellEnd"/>
      <w:r>
        <w:rPr>
          <w:rFonts w:ascii="Times New Roman" w:hAnsi="Times New Roman" w:cs="Times New Roman"/>
          <w:color w:val="000000"/>
        </w:rPr>
        <w:t xml:space="preserve"> who lives in </w:t>
      </w:r>
      <w:proofErr w:type="spellStart"/>
      <w:r>
        <w:rPr>
          <w:rFonts w:ascii="Times New Roman" w:hAnsi="Times New Roman" w:cs="Times New Roman"/>
          <w:color w:val="000000"/>
        </w:rPr>
        <w:t>Kirinyaga</w:t>
      </w:r>
      <w:proofErr w:type="spellEnd"/>
      <w:r>
        <w:rPr>
          <w:rFonts w:ascii="Times New Roman" w:hAnsi="Times New Roman" w:cs="Times New Roman"/>
          <w:color w:val="000000"/>
        </w:rPr>
        <w:t xml:space="preserve">. When traced, Evan </w:t>
      </w:r>
      <w:proofErr w:type="spellStart"/>
      <w:r>
        <w:rPr>
          <w:rFonts w:ascii="Times New Roman" w:hAnsi="Times New Roman" w:cs="Times New Roman"/>
          <w:color w:val="000000"/>
        </w:rPr>
        <w:t>Njagi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Magu</w:t>
      </w:r>
      <w:proofErr w:type="spellEnd"/>
      <w:r>
        <w:rPr>
          <w:rFonts w:ascii="Times New Roman" w:hAnsi="Times New Roman" w:cs="Times New Roman"/>
          <w:color w:val="000000"/>
        </w:rPr>
        <w:t xml:space="preserve"> denied having opened the account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denied any knowledge of the account and the subject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. Inspector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took the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account-opening documents in respect of the account number 3890109 to the document examiner. The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fingerprints of the actual holder of identity card number 2892029 and those of the Appellant were taken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PW7, Kenneth </w:t>
      </w:r>
      <w:proofErr w:type="spellStart"/>
      <w:r>
        <w:rPr>
          <w:rFonts w:ascii="Times New Roman" w:hAnsi="Times New Roman" w:cs="Times New Roman"/>
          <w:color w:val="000000"/>
        </w:rPr>
        <w:t>Soita</w:t>
      </w:r>
      <w:proofErr w:type="spellEnd"/>
      <w:r>
        <w:rPr>
          <w:rFonts w:ascii="Times New Roman" w:hAnsi="Times New Roman" w:cs="Times New Roman"/>
          <w:color w:val="000000"/>
        </w:rPr>
        <w:t xml:space="preserve"> who works with National Registration Department as a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 xml:space="preserve"> fingerprints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for examination. When the documents examiner’s report was received, the appellant was arrested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charged with the three offences. As we have stated hereinabove, he eventually faced conviction on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charge only.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memorandum of appeal dated 16 October 2003 and filed on the same date, the Appellant raises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mainly three grounds of appeal. These are: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judge erred in failing to find the case against the Appellant was not proved to the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standard required in law, was riddled with contradictions and inconsistencies and in any case the case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was not proved beyond reasonable doubt and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judge erred in that he did not accord the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 the benefit thereof.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judge erred in law when he did not properly evaluate the evidence before him and the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that the identification of the Appellant was not proper.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charge as laid was not proved”.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fourth ground was a complaint that the Judge erred in not setting aside the sentence or reduce it in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appropriate terms. It did not, in our humble opinion; amount to a ground of appeal as all it complained of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that the Judge dismissed the appeal on count 1 and that was in essence the reason for the entire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a second appeal, and that being so, this Court can only entertain and consider matters of law.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carefully considered the same. In our view, the first ground of appeal contained in the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memorandum of appeal, though ambiguous on account of duplicity in that more than one ground of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is raised in the same ground, only two matters are in fact raised in that ground and these are that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against the Appellant was not proved to the standards required in law and that the case against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riddled with contradictions and inconsistencies. Thus in effect, the Appellant is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claiming that the case against him as regards count 1 being of theft of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was not proved within the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standards required in law; that there were contradictions and discrepancies in the entire case which did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 doubts in the case and the benefit of the same doubt should have been given to the Appellant; that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not properly identified as the perpetrator of the offence for which he was convicted;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the charge as laid was not proved.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he addressed us, the learned counsel for the Appellant,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Nyakundi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two main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aspects and these were first, that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mentioned in the charge sheet as having been stolen was not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produced in court and was not mentioned during the entire hearing of the case. That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was referred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as number 15011.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that was produced in court and on which evidence was adduced was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number 150511. Secondly, he contended that the document examiner’s evidence upon which the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convicted did not accord with the standards required for such evidence before the court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rely on the same.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apparent from the face of the records that in the charge sheet the number of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which was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allegedly stolen was entered as 15011 whereas during the entire hearing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that was referred to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which was produced was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number 150511. Exhibit 26 is a certified copy of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number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150511 for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190 085</w:t>
      </w:r>
      <w:proofErr w:type="gramStart"/>
      <w:r>
        <w:rPr>
          <w:rFonts w:ascii="Times New Roman" w:hAnsi="Times New Roman" w:cs="Times New Roman"/>
          <w:color w:val="000000"/>
        </w:rPr>
        <w:t>,25</w:t>
      </w:r>
      <w:proofErr w:type="gramEnd"/>
      <w:r>
        <w:rPr>
          <w:rFonts w:ascii="Times New Roman" w:hAnsi="Times New Roman" w:cs="Times New Roman"/>
          <w:color w:val="000000"/>
        </w:rPr>
        <w:t>. The trial court and the superior court did consider this error on the face of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charge and concluded that the correct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was number 150511. The Appellant and his counsel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in court and they were aware throughout the hearing that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that was allegedly stolen was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number 150511 and not number 15011, which never existed, and the entry reflected what </w:t>
      </w:r>
      <w:proofErr w:type="gramStart"/>
      <w:r>
        <w:rPr>
          <w:rFonts w:ascii="Times New Roman" w:hAnsi="Times New Roman" w:cs="Times New Roman"/>
          <w:color w:val="000000"/>
        </w:rPr>
        <w:t>was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already a typographical error</w:t>
      </w:r>
      <w:proofErr w:type="gramEnd"/>
      <w:r>
        <w:rPr>
          <w:rFonts w:ascii="Times New Roman" w:hAnsi="Times New Roman" w:cs="Times New Roman"/>
          <w:color w:val="000000"/>
        </w:rPr>
        <w:t>. We do agree that this error did not occasion injustice. In our minds,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nothing turns out on this ground.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evidence adduced against the Appellant in the entire case is that of the handwriting expert.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was, as we have stated hereinabove, Emmanuel </w:t>
      </w:r>
      <w:proofErr w:type="spellStart"/>
      <w:r>
        <w:rPr>
          <w:rFonts w:ascii="Times New Roman" w:hAnsi="Times New Roman" w:cs="Times New Roman"/>
          <w:color w:val="000000"/>
        </w:rPr>
        <w:t>Kenga</w:t>
      </w:r>
      <w:proofErr w:type="spellEnd"/>
      <w:r>
        <w:rPr>
          <w:rFonts w:ascii="Times New Roman" w:hAnsi="Times New Roman" w:cs="Times New Roman"/>
          <w:color w:val="000000"/>
        </w:rPr>
        <w:t>. He examined the savings account specimen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signature card used for opening the account in Barclays Bank Exhibit 7 against specimen </w:t>
      </w:r>
      <w:r>
        <w:rPr>
          <w:rFonts w:ascii="Times New Roman" w:hAnsi="Times New Roman" w:cs="Times New Roman"/>
          <w:color w:val="000000"/>
        </w:rPr>
        <w:lastRenderedPageBreak/>
        <w:t>handwriting of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and known handwritings of the Appellant. He found them, according to the report, to be in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hand. This evidence was accepted by the trial court and the superior court as well and was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relied on by the two courts. As we have stated, this evidence has been challenged before us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9A515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Nyakundi</w:t>
      </w:r>
      <w:proofErr w:type="spellEnd"/>
      <w:r>
        <w:rPr>
          <w:rFonts w:ascii="Times New Roman" w:hAnsi="Times New Roman" w:cs="Times New Roman"/>
          <w:color w:val="000000"/>
        </w:rPr>
        <w:t>, the learned counsel for the Appellant, submitted that the documents examiner should not have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stated that in his opinion the handwriting was by the same hand.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Nyakundi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all the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 examiner needed to do was to state the characteristics that would have enabled the court to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 its own opinion as to whether the Appellant was or was not implicated. We have anxiously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those submissions and particularly putting in mind that in this case the evidence of the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document examiner was the only evidence that was relied upon for conviction.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Salum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9A515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Republic </w:t>
      </w:r>
      <w:r>
        <w:rPr>
          <w:rFonts w:ascii="Times New Roman" w:hAnsi="Times New Roman" w:cs="Times New Roman"/>
          <w:color w:val="000000"/>
        </w:rPr>
        <w:t>[1964] EA 126 was a decision of Spry J who was then a judge in the High Court of Tanganyika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-Salaam. It is therefore only of persuasive authority but is certainly not binding on us. It was a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similar to this case in that the only evidence against the Appellant was of opportunity to commit the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offences and of a handwriting expert who stated that he had compared the questioned signature with a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 written by the Appellant and specimens of the handwriting of the Appellant and two other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messengers in the same employment as the Appellant and two other messengers in the same employment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Appellant and he had come to the conclusion that the signature on the receipt and the letter were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written by the same person. The court held in that case as follows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The most that an expert on handwriting can properly say in an appropriate case, is that he does not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believe a particular writing was by a particular person or positively, that two writings are so similar as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be indistinguishable; the handwriting expert should have pointed out the particular features of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similarity or dissimilarity features of similarity or dissimilarity between the forged signature on the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receipt and the specimens of handwriting”.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Spry J in coming to the above decision relied on and cited the passage from the decision of Lord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Birkenhead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Wakefield v Lincoln (Bishop) </w:t>
      </w:r>
      <w:r>
        <w:rPr>
          <w:rFonts w:ascii="Times New Roman" w:hAnsi="Times New Roman" w:cs="Times New Roman"/>
          <w:color w:val="000000"/>
        </w:rPr>
        <w:t>[1921] 90 LJ PC 174.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our understanding, the above reflects what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Nyakundi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urging us to accept as the law.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in 1969, the High Court of Kenya in an appeal heard by two judges (</w:t>
      </w:r>
      <w:proofErr w:type="spellStart"/>
      <w:r>
        <w:rPr>
          <w:rFonts w:ascii="Times New Roman" w:hAnsi="Times New Roman" w:cs="Times New Roman"/>
          <w:color w:val="000000"/>
        </w:rPr>
        <w:t>Mwenda</w:t>
      </w:r>
      <w:proofErr w:type="spellEnd"/>
      <w:r>
        <w:rPr>
          <w:rFonts w:ascii="Times New Roman" w:hAnsi="Times New Roman" w:cs="Times New Roman"/>
          <w:color w:val="000000"/>
        </w:rPr>
        <w:t xml:space="preserve"> CJ and </w:t>
      </w:r>
      <w:proofErr w:type="spellStart"/>
      <w:r>
        <w:rPr>
          <w:rFonts w:ascii="Times New Roman" w:hAnsi="Times New Roman" w:cs="Times New Roman"/>
          <w:color w:val="000000"/>
        </w:rPr>
        <w:t>Farrel</w:t>
      </w:r>
      <w:proofErr w:type="spellEnd"/>
      <w:r>
        <w:rPr>
          <w:rFonts w:ascii="Times New Roman" w:hAnsi="Times New Roman" w:cs="Times New Roman"/>
          <w:color w:val="000000"/>
        </w:rPr>
        <w:t xml:space="preserve"> J)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considered the same </w:t>
      </w:r>
      <w:proofErr w:type="spellStart"/>
      <w:r>
        <w:rPr>
          <w:rFonts w:ascii="Times New Roman" w:hAnsi="Times New Roman" w:cs="Times New Roman"/>
          <w:color w:val="000000"/>
        </w:rPr>
        <w:t>Tanganyikan</w:t>
      </w:r>
      <w:proofErr w:type="spellEnd"/>
      <w:r>
        <w:rPr>
          <w:rFonts w:ascii="Times New Roman" w:hAnsi="Times New Roman" w:cs="Times New Roman"/>
          <w:color w:val="000000"/>
        </w:rPr>
        <w:t xml:space="preserve"> case in detail. That was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Onyango v Republic </w:t>
      </w:r>
      <w:r>
        <w:rPr>
          <w:rFonts w:ascii="Times New Roman" w:hAnsi="Times New Roman" w:cs="Times New Roman"/>
          <w:color w:val="000000"/>
        </w:rPr>
        <w:t>[1969] EA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362. The court stated as follows: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“Although a judgment of the High Court of Tanzania is not binding on this Court, it has considerable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persuasive authority and particularly when it falls (if we may say so) from so careful a judge. Nevertheless,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do not think the passage cited provides sufficient support for the proposition sought to be based upon it. In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particular, we do not find anything in the remark of Lord Birkenhead or of Lord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Hewart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passages cited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precludes the reception in evidence of the opinion of an expert that two documents were written by the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same hand. Cross on Evidence, third edition at page 504 referring to proof of handwriting by comparison says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this: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document, which is proved to have been signed or written by the person whose handwriting is in issue is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first produced, and this is compared with the writing, which is being considered by the court. On the basis of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comparison, an expert in these matters may give evidence.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48 of our Evidence Act recognizes the existence of handwriting experts, and expressly allows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to be given of their opinion ‘as to identify or genuineness of handwriting’. It may be that if a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positive opinion is given that a particular writing is in the hand of a particular person it should be received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caution, but it seems to us that at any rate under the law of this country, a handwriting expert must be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allowed to give his opinion that two documents were written by the same hand. Otherwise it is not easy to see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sort of ‘opinion’ an expert can give on any matter concerning handwriting. That is precisely what the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document examiner did in this case and we find no substance in the submission that he went outside the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proper submission that he went outside the proper province of a handwriting expert.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regard to the further submission that is for the court to make up its own mind whether a particular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writing is to be assigned to a particular person, we respectfully agree, but we do not think that in this respect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evidence of a handwriting expert is to be regarded in any different way from the evidence of experts in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subjects. An expert witness should come to court prepared to justify his opinion by argument and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demonstration, but he need not necessarily be called upon to do so. In many cases it is sufficient if the witness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gives his opinion and the more eminent the expert the less the need for demonstration. A doctor may give his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bare opinion as to the cause of death, and Government analyst, even in the rare cases where he is called as a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witness, may state without argument his conclusion (for example) that seminal stains were found on clothing.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every case the court is entitled to accept or reject the opinion of the expert, and in that sense it must make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 its own mind. The magistrate did so in this case. There was no challenge to the competence of the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document examiner, and his opinion was a confident one. In the context of the other evidence before her she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accepted his opinion as correct. It might of course have been better if the witness had indicated either in his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written report or in his evidence in court the grounds on which his opinion was based. We do not think this is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universal requirement and we note that of the cases relied on as suggesting that this must be done, neither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Wakeford v Bishop of Lincoln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nor RK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Padmore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mentioned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Phipson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on Evidence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and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lastRenderedPageBreak/>
        <w:t>Cross on</w:t>
      </w:r>
      <w:r w:rsidR="009A515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Evidence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loc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the citation from the former case is prefaced by the words ‘strictly speaking’. In the instant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 the Magistrate had before her the disputed writing and the specimens, and also the confident opinion of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expert that they were in the same hand. We cannot say that she was in any way wrong in her approach to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evidence and conclusion which she drew from it”.</w:t>
      </w:r>
      <w:r w:rsidR="009A51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obvious reasons, we do not </w:t>
      </w:r>
      <w:proofErr w:type="spellStart"/>
      <w:r>
        <w:rPr>
          <w:rFonts w:ascii="Times New Roman" w:hAnsi="Times New Roman" w:cs="Times New Roman"/>
          <w:color w:val="000000"/>
        </w:rPr>
        <w:t>apologise</w:t>
      </w:r>
      <w:proofErr w:type="spellEnd"/>
      <w:r>
        <w:rPr>
          <w:rFonts w:ascii="Times New Roman" w:hAnsi="Times New Roman" w:cs="Times New Roman"/>
          <w:color w:val="000000"/>
        </w:rPr>
        <w:t xml:space="preserve"> for the reproduction of a lengthy part of the case above for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it is not binding on us and is only of persuasive authority, we do feel nonetheless that it presents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answers to the main part of the case before us for in the instant case document examiner’s evidence and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report he produced on the three documents presented to him (namely the questioned handwriting on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documents used to open account, the specimen handwriting of the Appellant and the know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handwriting of the Appellant) were not challenged in cross-examination and that being the case, the trial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was perfectly correct in accepting the evidence, and the Learned Judge in </w:t>
      </w:r>
      <w:proofErr w:type="spellStart"/>
      <w:r>
        <w:rPr>
          <w:rFonts w:ascii="Times New Roman" w:hAnsi="Times New Roman" w:cs="Times New Roman"/>
          <w:color w:val="000000"/>
        </w:rPr>
        <w:t>analysing</w:t>
      </w:r>
      <w:proofErr w:type="spellEnd"/>
      <w:r>
        <w:rPr>
          <w:rFonts w:ascii="Times New Roman" w:hAnsi="Times New Roman" w:cs="Times New Roman"/>
          <w:color w:val="000000"/>
        </w:rPr>
        <w:t xml:space="preserve"> the case on first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was plainly right in accepting the same. That means that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we are now faced with concurrent findings of the two courts below on matters of fact. As we have stated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hereinabove, this being a second appeal, we can only deliberate on matters of law and we do not find it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 to interfere with the concurrent findings on matters of fact by the trial court and the superior court.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evidence, which was accepted by the two courts below, proved that the Appellant is the person who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opened an account in false name, using a false identity card on 1 December 1997 and having opened the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same account deposited the stolen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into the same account on that same day. We have not detected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contradictions in the evidence that was adduced by the prosecution witness in the entire case.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inevitable conclusion we must come to is that this appeal lacks merit. It is dismissed.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note that the Appellant was released on bail pending appeal to the superior court, but we have not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told whether, when the superior court confirmed his conviction and sentence on count 1, the same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bail terms were cancelled as should have been done; neither have we been told whether he was thereafter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placed on another bail pending appeal or whether the same terms were extended to cover the appeal to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Court. Whatever happened, the Appellant had not served the sentence meted out by the trial court</w:t>
      </w:r>
      <w:r w:rsidR="009A5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we order that he be committed to prison to serve out his sentence as was ordered by the trial court.</w:t>
      </w:r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accordingly.</w:t>
      </w:r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Nyakundi</w:t>
      </w:r>
      <w:proofErr w:type="spellEnd"/>
    </w:p>
    <w:p w:rsidR="009377FC" w:rsidRDefault="009377FC" w:rsidP="00937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575C55" w:rsidRDefault="009377FC" w:rsidP="009377FC">
      <w:r>
        <w:rPr>
          <w:rFonts w:ascii="Times New Roman" w:hAnsi="Times New Roman" w:cs="Times New Roman"/>
          <w:color w:val="000000"/>
        </w:rPr>
        <w:t>Attorney-General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FC"/>
    <w:rsid w:val="00575C55"/>
    <w:rsid w:val="009377FC"/>
    <w:rsid w:val="009A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5D03B-EF39-4908-9465-8FA2098E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2741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2018-07-04T18:04:00Z</dcterms:created>
  <dcterms:modified xsi:type="dcterms:W3CDTF">2018-07-13T16:53:00Z</dcterms:modified>
</cp:coreProperties>
</file>