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Nile Bank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Translink</w:t>
      </w:r>
      <w:proofErr w:type="spellEnd"/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June 2005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9/04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Indemnity – Breach of agreement – Interpretation of terms – Intention to be construed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words used – Whether police report amounted to a conclusive finding – Whether Court of Appeal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erred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its interpretation of the agreement – Whether the conditions for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realisation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the indemnity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been fulfilled.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727C0" w:rsidRDefault="00280DFA" w:rsidP="00B727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company operated two bank accounts, one in Ugandan shillings and the other in US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dollars, at a branch of the appellant bank. On 23 November 1994, the respondent sent three workers to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deposit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in the company’s account. A deposit slip purportedly stamped and signed by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was taken back to the company by the workers. Sometime later, the respondent’s Managing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only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had been credited to the company’s account. Upon taking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up with the appellants, the latter asserted that it had only received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million. However, in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to resolve the </w:t>
      </w:r>
      <w:r>
        <w:rPr>
          <w:rFonts w:ascii="Times New Roman" w:hAnsi="Times New Roman" w:cs="Times New Roman"/>
          <w:i/>
          <w:iCs/>
          <w:color w:val="000000"/>
        </w:rPr>
        <w:t>impasse</w:t>
      </w:r>
      <w:r>
        <w:rPr>
          <w:rFonts w:ascii="Times New Roman" w:hAnsi="Times New Roman" w:cs="Times New Roman"/>
          <w:color w:val="000000"/>
        </w:rPr>
        <w:t xml:space="preserve">, the appellants agreed to credit the company’s account with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condition that the company agreed to indemnify it if the police investigation proved conclusively that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money had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received. The respondent accordingly executed the indemnity dated 18 April 1995 and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credited the shilling account with the disputed amount.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14 August 1996, the respondent notified the bank by letter that it had decided to close the two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and demanded that the closing balance be remitted to it. The bank refused to comply and in a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to the respondent dated 30 August 1996, it pointed out that closure of the account would prejudice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rights under the indemnity. It also requested time to consider the matter further. Some weeks later it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wrote to the respondent advising it,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police investigation into the matter had concluded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money had never been deposited and that pursuant to the indemnity, the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would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treated as an overdraft. It also informed the respondent that closing its bank accounts would only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8.5 million and as a result, it requested the respondent to settle the outstanding balance.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 to the letter was a copy of the police report. The respondent’s advocates wrote back denying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police report was conclusive. They claimed that the bank was in breach of the banker-customer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relationship. The respondent then filed a suit in the High Court pleading that the appellant had breached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indemnity agreement by refusing it to operate the accounts and wrongfully closing them. The suit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a declaration that it was entitled to operate the accounts, an order that the appellant credits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with the amounts wrongfully debited, damages and costs. The appellant denied the claim and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counterclaimed the amount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11 472 682. The High Court dismissed the respondent’s suit and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judgment for the appellant on the counterclaim with interest and costs.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appealed to the Court of Appeal which allowed the appeal and ordered that the parties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return to the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</w:t>
      </w:r>
      <w:r>
        <w:rPr>
          <w:rFonts w:ascii="Times New Roman" w:hAnsi="Times New Roman" w:cs="Times New Roman"/>
          <w:color w:val="000000"/>
        </w:rPr>
        <w:t>that existed on 13 August 1996. It also stated that the bank was entitled to prevent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operation of the accounts until a conclusive report had been issued by the police.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now appealed to the Supreme Court on the grounds that the Court of Appeal erred in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that the police report, dated 5 September 1996, did not amount to a conclusive finding and that it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failed to properly evaluate the evidence on record which established that the prosecution of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suspects had been concluded. Counsel for the appellant argued that the agreement between the parties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that the police investigation was meant to establish whether the employees had banked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and that the parties were not concerned with the outcome of any court case. In reply, counsel for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argued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police had not issued a conclusive report within the dictionary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the word.</w:t>
      </w:r>
      <w:r w:rsidR="00B727C0">
        <w:rPr>
          <w:rFonts w:ascii="Times New Roman" w:hAnsi="Times New Roman" w:cs="Times New Roman"/>
          <w:color w:val="000000"/>
        </w:rPr>
        <w:t xml:space="preserve"> </w:t>
      </w:r>
    </w:p>
    <w:p w:rsidR="00B727C0" w:rsidRDefault="00B727C0" w:rsidP="00B727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80DFA" w:rsidRDefault="00280DFA" w:rsidP="00B727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was a trite rule of interpretation that in construing the intention of the parties to an agreement,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obliged to discern the intention from the words used in the document. In this instance,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findings of the Court of Appeal were not in consonance with the parties’ intention as expressed in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deed. The </w:t>
      </w:r>
      <w:r>
        <w:rPr>
          <w:rFonts w:ascii="Times New Roman" w:hAnsi="Times New Roman" w:cs="Times New Roman"/>
          <w:color w:val="000000"/>
        </w:rPr>
        <w:lastRenderedPageBreak/>
        <w:t>parties had not referred to a final or concluding police report as the basis on which their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would be resolved. The stipulated eventuality was conclusive proof from the police that the sum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never deposited in the respondent’s account. The fact that the police report was described as a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progress report was immaterial. The police investigation found proof that the workers only banked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 million and the proof was in the finding of the handwriting expert that the pay-in slip was forged.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Appeal, therefore,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erred in holding that the police report did not conclusively prove that the respondent never deposited the</w:t>
      </w:r>
      <w:r w:rsidR="00B727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disputed amount in its bank account.</w:t>
      </w:r>
    </w:p>
    <w:p w:rsidR="00280DFA" w:rsidRDefault="00280DFA" w:rsidP="0028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366D10" w:rsidRDefault="00280DFA" w:rsidP="00280DFA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FA"/>
    <w:rsid w:val="00280DFA"/>
    <w:rsid w:val="00366D10"/>
    <w:rsid w:val="00B7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2B597-B7BF-423B-9F2D-58D053AF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2018-07-04T19:55:00Z</dcterms:created>
  <dcterms:modified xsi:type="dcterms:W3CDTF">2018-07-13T16:56:00Z</dcterms:modified>
</cp:coreProperties>
</file>