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52E" w:rsidRDefault="0059152E" w:rsidP="00591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Nile Bank v Translink</w:t>
      </w:r>
    </w:p>
    <w:p w:rsidR="0059152E" w:rsidRDefault="0059152E" w:rsidP="00591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Supreme Court of Uganda at Mengo</w:t>
      </w:r>
    </w:p>
    <w:p w:rsidR="0059152E" w:rsidRDefault="0059152E" w:rsidP="00591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June 2005</w:t>
      </w:r>
    </w:p>
    <w:p w:rsidR="0059152E" w:rsidRDefault="0059152E" w:rsidP="00591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9/04</w:t>
      </w:r>
    </w:p>
    <w:p w:rsidR="0059152E" w:rsidRDefault="0059152E" w:rsidP="00591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Odoki CJ, Oder, Karokora, Mulenga and Kanyeihamba JJSC</w:t>
      </w:r>
    </w:p>
    <w:p w:rsidR="0059152E" w:rsidRDefault="0059152E" w:rsidP="00591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59152E" w:rsidRDefault="0059152E" w:rsidP="00591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Indemnity – Breach of agreement – Interpretation of terms – Intention to be construed</w:t>
      </w:r>
    </w:p>
    <w:p w:rsidR="0059152E" w:rsidRDefault="0059152E" w:rsidP="00591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from words used – Whether police report amounted to a conclusive finding – Whether Court of Appeal</w:t>
      </w:r>
    </w:p>
    <w:p w:rsidR="0059152E" w:rsidRDefault="0059152E" w:rsidP="00591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erred in its interpretation of the agreement – Whether the conditions for the realisation of the indemnity</w:t>
      </w:r>
    </w:p>
    <w:p w:rsidR="0059152E" w:rsidRDefault="0059152E" w:rsidP="00591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had been fulfilled.</w:t>
      </w:r>
    </w:p>
    <w:p w:rsidR="0059152E" w:rsidRDefault="007D76AE" w:rsidP="00591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7D76AE" w:rsidRDefault="0059152E" w:rsidP="007D7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Mulenga JSC: </w:t>
      </w:r>
      <w:r>
        <w:rPr>
          <w:rFonts w:ascii="Times New Roman" w:hAnsi="Times New Roman" w:cs="Times New Roman"/>
          <w:color w:val="000000"/>
        </w:rPr>
        <w:t>Until 1996, Translink (U) Limited, the respondent in this appeal, maintained two current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accounts in Uganda shillings and United States dollars respectively at a branch of Nile Bank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Limited, the appellant in this appeal. In 1997 the respondent filed a suit in the High Court, alleging that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appellant, in breach of contract, refused it to operate the accounts and wrongfully closed them. It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prayed for-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 declaration that it was entitled to operate the accounts and an order that the appellant credits the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accounts with amounts wrongfully debited.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general damages for breach of contract; and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costs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defended the suit and counterclaimed from the respondent UShs 11 472 682 due on an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overdraft. The High Court dismissed the respondent’s suit and entered judgment for the appellant on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counterclaim with interest and costs. The respondent appealed to the Court of Appeal, which allowed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and made orders to which I will revert in this judgment. Let me first summarise the background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led to this litigation.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April 1995, a dispute arose between the appellant and the respondent on what amount the latter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deposited in its shilling account on 23 November 1994. While the respondent asserted that it deposited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UShs 30 million, the appellant asserted that it received only UShs 10 million. In order to resolve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impasse</w:t>
      </w:r>
      <w:r>
        <w:rPr>
          <w:rFonts w:ascii="Times New Roman" w:hAnsi="Times New Roman" w:cs="Times New Roman"/>
          <w:color w:val="000000"/>
        </w:rPr>
        <w:t>, the appellant agreed to credit the respondent’s shilling account with the disputed sum of UShs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 million upon the respondent undertaking to indemnify the appellant if the ongoing police investigation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proved conclusively that the disputed sum was not deposited. It was agreed that in that eventuality,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 so credited would be treated as an overdraft attracting no interest. The respondent executed a deed of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indemnity dated 18 April 1995, exhibit P3, and the appellant credited the shilling account with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disputed amount.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14 August 1996, the respondent, without reference to that outstanding agreement, notified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by letter,exhibit P6, that it had decided to close its two bank accounts. It demanded for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closing balance to be remitted by drafts. The appellant refused to comply with the demand. First, in a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letter dated 30 August 1996, the appellant pointed out that the immediate closure of the accounts would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prejudice the appellant’s rights under the indemnity. It requested for time to ascertain if it should accede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demand or should set off the balances against the overdraft deemed under the deed of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indemnity. Later, in a letter dated 19 September 1996, it advised the respondent: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police investigation (copy of whose report was forwarded) and its own internal investigation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arrived at the concurrent conclusion that the appellant did not receive the disputed sum of UShs 20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million;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that consequently, under the terms of the indemnity, the UShs 20 million credited on the respondent’s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account, was to be treated as an overdraft; and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appellant would realise only UShs 8 527 319 from the balances on the respondent’s two bank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accounts.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concluded the letter thus: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“By this letter you are hereby requested to make arrangements for the settlement of the outstanding balance of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UShs 11 472 681. We look forward to your positive response and we hope that the whole exercise will be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smoothly concluded with an option for you to maintain your account with us.”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copy report forwarded was a memo dated 5 September 1996 from the investigating officer to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ACP/Crime, exhibit P4, concerning the investigation. In a letter dated 24 September 1996,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advocates protested the appellant’s stance. Without any reference to their client’s previous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to close its accounts, the advocates asserted: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police report in exhibit P4 was inconclusive;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respondent strongly objected to the consolidation of its accounts and to not being permitted to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operate its accounts;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appellant was in breach of the banker/customer relationship; and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that the indemnity was binding and enforceable, but could only be invoked upon conclusive proof that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UShs 20 million was not deposited.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They also wrote to the police protesting that the report in exhibit P4 was not objective but was tailored to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favour the appellant. About two months later, the respondent filed </w:t>
      </w:r>
      <w:r>
        <w:rPr>
          <w:rFonts w:ascii="Times New Roman" w:hAnsi="Times New Roman" w:cs="Times New Roman"/>
          <w:color w:val="000000"/>
        </w:rPr>
        <w:lastRenderedPageBreak/>
        <w:t>the suit in the High Court pleading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appellant was in breach of the terms of the deed of indemnity because its decision to appropriate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balances was not based on a conclusive police report envisaged in the deed of indemnity, but on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mere progress report. The respondent, further, pleaded that following the police investigations,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employees of both the appellant and the respondent were charged with theft, but that the respondent had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failed to find out the results of their trial in court.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constrained to observe that although clearly the substantive core issue between the parties was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“whether the respondent deposited the disputed amount on its bank account, ” it was sidelined in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 below. This is apparent from the parties’ respective pleadings and presentations of their cases, as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well as from the framing and resolution of the issues by the courts below, where focus was directed more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construction of the deed of indemnity, exhibit P3, and description of the police report, exhibit P4, than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said core issue. The respondent’s suit was virtually based on the said deed of indemnity and no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averment was made in the plaint that that disputed sum was deposited on the account. Hence, the issues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framed at the trial were in brief: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w hether exhibit P4, amounted to the conclusive investigation (report) in writing;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w hether the defendant was entitled to invoke the deed of indemnity;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w hether the plaintiff is entitled to the relief sought in the plaint;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w hether the defendant is entitled to the prayers in the counterclaim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trial Judge found for the appellant on the two main issues principally because he held that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exhibit P4 contained a conclusive police report. In the Court of Appeal, Twinomujuni JA, who wrote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lead judgment, found that the first three grounds of appeal raised a single issue, namely: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“Whether the decision of the respondent to confiscate moneys on the appellant’s accounts in the respondent’s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bank was in accordance with clause 2 of the deed of indemnity. . .”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brief, his answer to that issue was to the effect that the police report on which the appellant relied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“confiscate” the consolidated balance on the respondent’s accounts was not a conclusive report within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meaning of the deed of indemnity, and that consequently, the confiscation was premature. The fourth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of appeal raised the issue whether the respondent was entitled to operate its bank accounts. His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answer to this was indirect. He held that the respondent’s attempt to close the accounts was strange and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highly suspicious and that the appellant, as a prudent banker, was entitled to resist the attempt, but was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entitled to pay itself from the respondent’s accounts on strength of the inconclusive report in exhibit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P4. Lastly, the court held that the fifth ground concerning the counterclaim, did not arise and had to fail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event which could have allowed the (bank) to make the counterclaim, ie the conclusive report from the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police, has not yet occurred.”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final orders of the court were framed in the lead judgment thus: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“In light of the above findings and in order to do justice to both parties I would order a return to the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status</w:t>
      </w:r>
      <w:r w:rsidR="007D76A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quo </w:t>
      </w:r>
      <w:r>
        <w:rPr>
          <w:rFonts w:ascii="Times New Roman" w:hAnsi="Times New Roman" w:cs="Times New Roman"/>
          <w:color w:val="000000"/>
          <w:sz w:val="20"/>
          <w:szCs w:val="20"/>
        </w:rPr>
        <w:t>that existed on 13 August 1996, a day before the appellant applied to close the accounts with the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respondent.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 think, however, that the respondent is entitled to prevent the operation of the accounts until the</w:t>
      </w:r>
      <w:r w:rsidR="007D76A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police issues a conclusive report</w:t>
      </w:r>
      <w:r>
        <w:rPr>
          <w:rFonts w:ascii="Times New Roman" w:hAnsi="Times New Roman" w:cs="Times New Roman"/>
          <w:color w:val="000000"/>
          <w:sz w:val="20"/>
          <w:szCs w:val="20"/>
        </w:rPr>
        <w:t>. The account will be deemed to have remained open with the balances that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were on them on 19 September 1996. Any interest that was due will be deemed to have continued to accrue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till this matter is concluded in accordance with the deed of indemnity. Because of the holding that it was the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ill timed demand of the appellant to close his accounts that triggered confiscation of his accounts and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therefore this suit, I would order that each party bears its own costs here and in the High Court.” (Emphasis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mine.)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two grounds of appeal to this Court (excluding argumentative phrases) are that: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T he learned Justices of Appeal erred in fact and law when they held that a police report dated 5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September 1996 did not amount to a conclusive finding as envisaged by a deed of indemnity between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parties …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T he learned Justices of Appeal failed to properly evaluate the evidence on record which established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prosecution of suspects in relation to the matter in dispute between the parties had been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concluded …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>Byenkya</w:t>
      </w:r>
      <w:r>
        <w:rPr>
          <w:rFonts w:ascii="Times New Roman" w:hAnsi="Times New Roman" w:cs="Times New Roman"/>
          <w:color w:val="000000"/>
        </w:rPr>
        <w:t>, learned Counsel for the appellant, argued the two grounds separately. The essence of his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 on the first ground of appeal was that, pursuant to the deed of indemnity, the parties bound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themselves to wait for the police investigation to establish conclusively if the disputed amount was not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deposited, whereupon the sum of UShs 20 million credited on the respondent’s account was to be treated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an overdraft. For the purposes of the deed, the investigation was to establish only one fact, namely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 respondent’s servants banked the disputed amount or not. The parties did not concern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themselves with results of any prosecution that might arise from the police investigation. According to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Counsel, the contents of the report in exhibit P4 showed conclusively that the disputed amount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banked as alleged by the respondent’s servants. He criticised the Court of Appeal for concerning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itself with the nature or form of exhibit P4 rather than the substance of its content. Instead of considering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 report proved that the disputed amount was banked or not, it relied on extrinsic matters to hold that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was not a “conclusive” but only a “progress” report. On the second </w:t>
      </w:r>
      <w:r>
        <w:rPr>
          <w:rFonts w:ascii="Times New Roman" w:hAnsi="Times New Roman" w:cs="Times New Roman"/>
          <w:color w:val="000000"/>
        </w:rPr>
        <w:lastRenderedPageBreak/>
        <w:t xml:space="preserve">ground of appeal, Mr </w:t>
      </w:r>
      <w:r>
        <w:rPr>
          <w:rFonts w:ascii="Times New Roman" w:hAnsi="Times New Roman" w:cs="Times New Roman"/>
          <w:i/>
          <w:iCs/>
          <w:color w:val="000000"/>
        </w:rPr>
        <w:t>Byenkya</w:t>
      </w:r>
      <w:r w:rsidR="007D76A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that, contrary to the holding by the Court of Appeal, the evidence on record showed that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in the Magistrate’s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was complete. He argued that this misconception of the evidence led the court to conclude,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wrongly, that the parties ought to await completion of a prosecution that is no longer pending.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respondent, Messrs </w:t>
      </w:r>
      <w:r>
        <w:rPr>
          <w:rFonts w:ascii="Times New Roman" w:hAnsi="Times New Roman" w:cs="Times New Roman"/>
          <w:i/>
          <w:iCs/>
          <w:color w:val="000000"/>
        </w:rPr>
        <w:t xml:space="preserve">Lwere, Lwanyaga and Company Advocates </w:t>
      </w:r>
      <w:r>
        <w:rPr>
          <w:rFonts w:ascii="Times New Roman" w:hAnsi="Times New Roman" w:cs="Times New Roman"/>
          <w:color w:val="000000"/>
        </w:rPr>
        <w:t>lodged written submissions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rule 93 of the rules of this Court. On the first ground of appeal, they supported the findings by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that the police had not issued a report that was “conclusive” within the dictionary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of that word. In their view, exhibit P4, was an internal police communication on progress of an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investigation. The fact that it was not copied to the respondent, as the complainant who instigated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 investigation, or to the appellant, leads to the inference that the police did not intend to treat that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internal communication as a final report, to be relied upon by either party to the deed of indemnity.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exhibit P4 referred to a handwriting expert report that exonerated the appellant, that alleged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report was never produced in evidence.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Besides, following the respondent’s protest against exhibit P4, the police issued another inconclusive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report showing that the appellant’s servants who were allegedly exonerated were subsequently charged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prosecuted together with the respondent’s servants. A conclusive report would have included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 of the prosecution as the final finding of the investigation. On the second ground of appeal,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advocates submitted that the Court of Appeal was correct to hold that the prosecution which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ensued from the police investigation, had not been concluded because some of the suspects had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absconded before being tried. They stressed that no evidence was adduced to substantiate the appellant’s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 through counsel that its servants had been acquitted in the Magistrates’ Court. According to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available evidence, four suspects were prosecuted and only one was discharged. The Court of Appeal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that the prosecution of the others was incomplete or outstanding. The learned advocates stressed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this Court, as a second appellate court, must not interfere with findings of fact by the first appellate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unless the latter came to a wrong conclusion due to misapprehension of the evidence. They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Court of Appeal considered the issues and evidence properly and came to the correct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conclusion, and they urged this Court not to interfere with its findings.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indicated earlier in this judgment, the decision of the Court of Appeal is based on that court’s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finding that exhibit P4 was a progress report and not the “conclusive police report” supposedly envisaged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deed of indemnity. This is evident in the lead judgment where after noting the dictionary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definitions of the word “conclusive” and asking himself if any of the definitions fitted the memo in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exhibit P4, Twinomujuni JA wrote: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holding that the memo was conclusive report of the police, the learned trial Judge stated: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‘The indemnity bond must be interpreted strictly in accordance with the golden rule of interpretation.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provision in the bond about the Police Fraud Squad is not ambiguous or vague so that we go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behind to find out whether by ‘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conclusive report</w:t>
      </w:r>
      <w:r>
        <w:rPr>
          <w:rFonts w:ascii="Times New Roman" w:hAnsi="Times New Roman" w:cs="Times New Roman"/>
          <w:color w:val="000000"/>
          <w:sz w:val="20"/>
          <w:szCs w:val="20"/>
        </w:rPr>
        <w:t>’ meant the final finding of the court. In my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opinion, after the handwriting expert had given his report, the Police Fraud Squad was within its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powers to issue its conclusive report pursuant to the deed of indemnity.’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My finding on the first issue is in the affirmative ;exhibit P5 was the police squad conclusive report envisaged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indemnity deed.’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the greatest respect, I am unable to agree that . . . exhibit P5. . . was a conclusive report. The Director of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CID called it a progress report. Even D/AIP Begumisa himself did not believe that he had made a conclusive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report. He recommended that it be forwarded to the respondent merely ‘for information and update’. In fact,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9 January 1997 he wrote another internal memo on the same matter to his boss. It is entitled ‘Theft and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Related Offences: A Progress Report’.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contents of this memo have already been reproduced above. It is significant to note that in this report he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stated: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‘I wish to inform you that four people, that is to say two bankers of Nile Bank and two employees of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Translink were charged, later one of the bankers (Mwine Enock) jumped bail, and this created a delay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proceedings with the rest.’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Though the first memo claimed that the handwriting expert had exonerated Nile Bank, the latter memo reveals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further investigations had taken place which led into two employees of Nile Bank to be charged with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subject matter of the investigation.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 have already remarked that although this case was reported to the police by Translink (U) Limited, the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police have never sent to him any report “conclusive, progress” or otherwise.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 is another disturbing aspect of the deed of indemnity. I do not think it would have been possible for the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police to issue a “conclusive” report on the case unless there was no evidence to prosecute anyone. Once they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took a decision to prosecute two employees of Nile Bank and two of Translink, it was impossible for the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police to issue a conclusive report unless the prosecution was concluded in court.”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For clarity I would summarise the reasons given for the finding that exhibit P4 was a progress and not a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conclusive report, as follows: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In the letter dated 13 September 1996, forwarding exhibit P4 to the appellant, the Director of CID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described exhibit P4 as “a progress report”;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officer who authored exhibit P4 described a subsequent memo which he wrote on the same subject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9 September 1997 as “a progress report”;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Although exhibit P4 claimed that the appellant had been exonerated, other investigations led to the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appellant’s two employees being charged; and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After the decision to charge servants of both the appellant and the respondent, it was impossible for the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police to issue a conclusive report until the prosecution in court was concluded.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apparent from the foregoing that in the view of the Court of Appeal the parties’ intention was to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resolve their dispute on the basis of a final report to be compiled by the police after conclusion of their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investigation and any resultant prosecution in court. Does that view conform to what the parties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expressed in the deed? It is a trite rule of interpretation, that in construing the intention of the parties to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it, the court must discern the intention from the words in the document. It ascertains the intention of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as expressed in the document.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pertinent portion of the deed reads thus: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“Now we, Translink (U) Limited: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 Do hereby apply that you immediately credit our account with the disputed amount of UShs 20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million.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 Do hereby covenant that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in the event of the investigations currently being conducted by the Police</w:t>
      </w:r>
      <w:r w:rsidR="007D76A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Fraud Squad prove conclusively in writing that the said amount of UShs 20 million was never</w:t>
      </w:r>
      <w:r w:rsidR="007D76A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deposited </w:t>
      </w:r>
      <w:r>
        <w:rPr>
          <w:rFonts w:ascii="Times New Roman" w:hAnsi="Times New Roman" w:cs="Times New Roman"/>
          <w:color w:val="000000"/>
          <w:sz w:val="20"/>
          <w:szCs w:val="20"/>
        </w:rPr>
        <w:t>by Messrs Translink (U) with Nile Bank Limited then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said amount shall be treated as an overdraft granted by the Nile Bank Limited to Messrs Translink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(U) Limited attracting no interest.” (Emphasis mine.)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the greatest respect to the learned Justices of Appeal, I find that their view of the intention of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is not in consonance with the parties’ intention as expressed in the deed. The parties did not,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expressly or by implication, refer to a final or concluding police report as the basis on which their dispute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resolved. My reading of the deed is that the stipulated eventuality, upon which the parties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agreed the dispute would be resolved, was not a final police report, but rather conclusive proof from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 investigation, that the respondent never deposited the disputed sum on its account. It is upon such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proof that the sum of UShs 20 million was to be treated as an overdraft, attracting no interest. To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illustrate this point, I think it helps to paraphrase the pertinent sentence in issue thus: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in the event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the investigations … prove conclusively in writing </w:t>
      </w:r>
      <w:r>
        <w:rPr>
          <w:rFonts w:ascii="Times New Roman" w:hAnsi="Times New Roman" w:cs="Times New Roman"/>
          <w:color w:val="000000"/>
          <w:sz w:val="20"/>
          <w:szCs w:val="20"/>
        </w:rPr>
        <w:t>that the said amount of UShs 20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million was never deposited …” (Emphasis mine.)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appears to me that the use of the expression “in the event the investigations prove conclusively in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writing” the parties plainly meant that the sum of UShs 20 million credited on the respondent’s account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treated as an overdraft if the investigations established that the respondent had not deposited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said sum on its account. Even the respondent’s managing director appears to have understood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 in that way, for in his evidence in chief he described it albeit in converse form, as follows-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(indemnity) document provided that if the police investigation found that the sum of UShs 20 million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was actually taken and received by the bank, then it would be my money.”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Much as it is a common expectation for police criminal investigations to lead to prosecutions in court, I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 nothing in the deed that would compel me to infer that the parties’ intention, as expressed in the deed,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to await conclusion of the court prosecution resulting from the police investigation. Admittedly,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deed does not stipulate the mode of determining the conclusive proof. Nor does the deed make it clear in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whose writing the conclusive proof was to be. In my view, however, that is not a bar to either party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asserting as a fact, at any stage even prior to that fact being proved in court, that the police investigation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proved conclusively that the sum in question, was or was not deposited. What was envisaged in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deed was not a final report after conclusion of the case, but conclusive proof of the fact that the money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or was not deposited. In my opinion, it is immaterial that exhibit P4 was described as a progress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report. Clearly, the first, second and fourth reasons relied on by the Court of Appeal were misconstrued.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What matters is whether the report constituted conclusive proof in writing that the disputed sum was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never deposited on the respondent’s account. It is in that context that I proceed to examine the report in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contention.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exhibit P4 dated 5 September 1996, the investigating officer wrote: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Re: Theft and Related Offences</w:t>
      </w:r>
      <w:r w:rsidR="007D76A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Reference is made to the above subject matter.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This case was reported here on 17 March 1995 by the managing director of Translink (U) Limited. Inquiries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commenced and suspects appeared in Court on 2 May 1995.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7D76AE" w:rsidRDefault="007D76AE" w:rsidP="007D7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</w:p>
    <w:p w:rsidR="007D76AE" w:rsidRDefault="0059152E" w:rsidP="007D7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Brief Facts</w:t>
      </w:r>
      <w:r>
        <w:rPr>
          <w:rFonts w:ascii="Times New Roman" w:hAnsi="Times New Roman" w:cs="Times New Roman"/>
          <w:color w:val="000000"/>
          <w:sz w:val="20"/>
          <w:szCs w:val="20"/>
        </w:rPr>
        <w:t>- It is alleged that 30 million shillings were taken to Nile Bank on 23 November 1994 by three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workers of Translink to be deposited on the account of Company. A deposit slip reading 30 million duly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stamped and signed by purportedly the bank and was taken back to the company by the workers confirming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deposit on reconciling the bank statement by the managing director (Translink). It was found that instead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30 million, 10 million was credited on the account.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Findings </w:t>
      </w:r>
      <w:r>
        <w:rPr>
          <w:rFonts w:ascii="Times New Roman" w:hAnsi="Times New Roman" w:cs="Times New Roman"/>
          <w:color w:val="000000"/>
          <w:sz w:val="20"/>
          <w:szCs w:val="20"/>
        </w:rPr>
        <w:t>- The deposit slip (exhibit) from Translink (U) Limited, the specimen of the suspected bank official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purported to have signed the deposit slip and the stamp sample from the bank were taken to the handwriting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expert for comparison to establish the author of the signature. The handwriting expert report was secured,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exonerating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the bank, that is to say the stamp impression on the deposit slip (exhibit) was different from the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genuine stamp impression of Nile Bank and the author of the signature on the deposit slip was not the same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author of the specimen signature of the suspected bank official.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These findings indicate that the Translink workers banked only 10 million and forged the stamp, signatures</w:t>
      </w:r>
      <w:r w:rsidR="007D76A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of the bank officials, to purport that they banked 30 million</w:t>
      </w:r>
      <w:r>
        <w:rPr>
          <w:rFonts w:ascii="Times New Roman" w:hAnsi="Times New Roman" w:cs="Times New Roman"/>
          <w:color w:val="000000"/>
          <w:sz w:val="20"/>
          <w:szCs w:val="20"/>
        </w:rPr>
        <w:t>; and this forms the basis for charging them.”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(Emphasis mine.)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this report, the police investigation found proof that the respondent’s workers had not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banked UShs 30 million, as they claimed, but had banked only UShs 10 million. Basically, the proof so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is the finding by the handwriting expert that the bank pay-in slip which was purported evidence of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depositing the larger amount, was forged. In my view, in absence of any contradiction, that would be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conclusive proof, albeit circumstantial, that the disputed amount of UShs 20 million was never deposited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respondent’s bank account. The Court of Appeal appears to have taken a different view because of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surmising that subsequent to the handwriting expert report there was further investigation that led to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employees of the appellant being charged. In the excerpt from the lead judgment reproduced earlier in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judgment, Twinomujuni JA said: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“Though the first memo claimed that the handwriting expert had exonerated Nile Bank,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latter memo</w:t>
      </w:r>
      <w:r w:rsidR="007D76A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reveals that further investigation had taken place which led into two employees of Nile Bank to be charged</w:t>
      </w:r>
      <w:r w:rsidR="007D76A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with the subject matter of the investigation.” .” (Emphasis mine.)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due respect, I think this is another incidence of misconstruing evidence. The first memo alluded to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exhibit P4, dated 5 September 1996, and the latter memo is exhibit P5, dated 9 January 1997.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Justice of Appeal construed the two memos as if they were consecutive reports on progress of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investigation as at the two dates, meaning that the charging of the appellant’s employees alluded to in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exhibit P5 was subsequent to the handwriting expert report, and resulted from further investigations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carried out between the two dates. The record makes it quite clear that from the beginning of the dispute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employees of both parties were suspected and charged. It is because of that fact that the respondent,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his advocates protested in exhibit P15 dated 24 September 1996, against the content of exhibit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P4, as tailored, to favour the appellant. They wrote,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“Employees of both Translink (U) Limited and Nile Bank Limited were charged in court and the matter is still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subjudice. In fact, one of the employees of Nile Bank Limited jumped bail and there is an arrest warrant for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him … There is no mention of these facts in the report which renders it inconclusive.”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seems to me that the memo in exhibit P4 was not intended to be a comprehensive report of all that had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transpired in the course of the investigation. It was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written at the prompting of the appellant as is evident from exhibit P8 dated 19 September 1996, in which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informed the respondent: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“Upon your instructions to close your accounts, the bank rekindled its internal investigation and established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that it never received the said amount.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We went further to request the CID Fraud Squad to give us their</w:t>
      </w:r>
      <w:r w:rsidR="007D76A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report touching upon the same matter. The said report was in conformity with the bank’s findings. A copy of</w:t>
      </w:r>
      <w:r w:rsidR="007D76A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said report is attached hereto … for your reference</w:t>
      </w:r>
      <w:r>
        <w:rPr>
          <w:rFonts w:ascii="Times New Roman" w:hAnsi="Times New Roman" w:cs="Times New Roman"/>
          <w:color w:val="000000"/>
          <w:sz w:val="20"/>
          <w:szCs w:val="20"/>
        </w:rPr>
        <w:t>.” (Emphasis mine)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Similarly, the later memo in exhibit P5 dated 9 January 1997 was not written as a comprehensive report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investigation progress as at that date. It was written in response to the respondent’s protest at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omission of details from exhibit P4. In his evidence at the trial, the respondent’s managing director said: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“On receipt of the police report (copy tendered as exhibit P4) I did not agree with its contents and wrote to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my lawyers complaining. I instructed the lawyers to write to CID highlighting the various omissions. They did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write to CID subsequently we were given another report by the police. It was sent to me by the police directly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our office . . . It is dated 9 January 1997. (Tendered in as exhibit P5).”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Incidentally, the learned Justice of Appeal overlooked this evidence, as well as an endorsement on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exhibit P5 suggesting that both parties be given copy thereof, when he observed, in his judgment, that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 never sent to the respondent any report “conclusive, progress or otherwise”. Be that as it may,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no basis for the holding that investigations subsequent to the handwriting expert report led to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employees of the appellant being charged. It is obvious to me the sequence was that subsequent to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four suspects being charged, the handwriting expert report “was secured exonerating the bank”.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Lastly, on this ground, I have to comment briefly on the submission by the respondent’s advocates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no reliance should be put on the handwriting expert report because it was not produced in evidence. I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 unable to accept that submission. The available evidence about the expert report is secondary, in that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a summary of its substance was inserted in the investigating officer’s memo, exhibit P4.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Significantly, however, it was the respondent who tendered that memo in evidence with the consent of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appellant. If the respondent disputed its accuracy or credibility, the onus was on the respondent to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adduce cogent evidence to discredit the expert report. No such evidence was adduced. The respondent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cannot now turn round and shift the burden onto the appellant, as it were, that it should have </w:t>
      </w:r>
      <w:r>
        <w:rPr>
          <w:rFonts w:ascii="Times New Roman" w:hAnsi="Times New Roman" w:cs="Times New Roman"/>
          <w:color w:val="000000"/>
        </w:rPr>
        <w:lastRenderedPageBreak/>
        <w:t>adduced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better or further evidence of the expert finding.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greatest respect I would hold: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t hat it was a misdirection on evidence, on the part of the Court of Appeal, to hold that the indemnity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deed could be invoked only after the magistrate’s court had given a verdict in the criminal case that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resulted from the police investigation; and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t hat the said court erred on evidence to the extent it implicitly held that the police investigation did not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conclusively prove that the respondent never deposited the disputed amount on its bank account.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 therefore, the first ground of appeal ought to succeed.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view of my holding on the first ground, I find it unnecessary to discuss the merits of the second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in any detail. Whether or not the prosecution of the suspects in court was concluded would not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affect the results of this appeal. I should observe, however, that there is, on record, evidence of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Natwaluma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Mubezi Samuel, DW2, to the effect that two bank employees (including himself) and two employees of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were charged and that:</w:t>
      </w:r>
      <w:r w:rsidR="007D76AE">
        <w:rPr>
          <w:rFonts w:ascii="Times New Roman" w:hAnsi="Times New Roman" w:cs="Times New Roman"/>
          <w:color w:val="000000"/>
        </w:rPr>
        <w:t xml:space="preserve"> </w:t>
      </w:r>
    </w:p>
    <w:p w:rsidR="007D76AE" w:rsidRDefault="007D76AE" w:rsidP="007D7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7D76AE" w:rsidRDefault="0059152E" w:rsidP="007D7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>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was prosecuted and discharged in 1997 upon the court finding that he had no case to answer, but his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co-employee jumped bail before trial;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59152E" w:rsidRDefault="0059152E" w:rsidP="007D76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>one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respondent’s employees was tried and acquitted and the second also jumped bail.</w:t>
      </w:r>
      <w:r w:rsidR="007D76A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also on record that the efforts made by the respondent and its advocates to obtain the results of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prosecution directly from the police and the Magistrate’s Court were fruitless. Even orders made by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 Court on application of the respondent during the trial of this case, first for the Director of CID to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produce the police file, and later for Senior Principal State Attorney, Byabakama Mugenyi, of the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Directorate of Public Prosecutions, to produce both the police and the Magistrate’s Court files, did not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produce the desired results. The latter appeared before the court twice to say he could not trace the files. I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 unable to understand why in apparent disregard of all that evidence and record, the Court of Appeal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held that there was “</w:t>
      </w:r>
      <w:r>
        <w:rPr>
          <w:rFonts w:ascii="Times New Roman" w:hAnsi="Times New Roman" w:cs="Times New Roman"/>
          <w:i/>
          <w:iCs/>
          <w:color w:val="000000"/>
        </w:rPr>
        <w:t>a prosecution which from the evidence on record, is not yet concluded</w:t>
      </w:r>
      <w:r>
        <w:rPr>
          <w:rFonts w:ascii="Times New Roman" w:hAnsi="Times New Roman" w:cs="Times New Roman"/>
          <w:color w:val="000000"/>
        </w:rPr>
        <w:t>” and ordered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was in the interest of justice, to both parties, to return to the status before the respondent attempted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close its accounts. With due respect, this is tantamount to failing to resolve the dispute that the parties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looked to the court to determine.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result, I would allow this appeal and set aside the judgment and orders of the Court of Appeal. I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substitute a judgment dismissing the respondent’s suit and upholding the appellant’s counterclaim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UShs 11 472 681, with interest at the court rate from the date of this judgment till payment in full. I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award costs of this appeal and in the courts below to the appellant.</w:t>
      </w:r>
      <w:r w:rsidR="007D76A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Odoki CJ, Oder, Karokora and Kanyeihamba JJSC concurred in the judgment of Mulenga JSC</w:t>
      </w:r>
    </w:p>
    <w:p w:rsidR="0059152E" w:rsidRDefault="0059152E" w:rsidP="00591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59152E" w:rsidRDefault="0059152E" w:rsidP="00591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Mr Byenkya</w:t>
      </w:r>
    </w:p>
    <w:p w:rsidR="0059152E" w:rsidRDefault="0059152E" w:rsidP="00591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66D10" w:rsidRDefault="0059152E" w:rsidP="0059152E">
      <w:r>
        <w:rPr>
          <w:rFonts w:ascii="Times New Roman" w:hAnsi="Times New Roman" w:cs="Times New Roman"/>
          <w:i/>
          <w:iCs/>
          <w:color w:val="000000"/>
        </w:rPr>
        <w:t>Messrs Lwere,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2E"/>
    <w:rsid w:val="00366D10"/>
    <w:rsid w:val="0059152E"/>
    <w:rsid w:val="007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3ECF9-53E1-4267-8660-212F9947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4580</Words>
  <Characters>26107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2018-07-04T19:57:00Z</dcterms:created>
  <dcterms:modified xsi:type="dcterms:W3CDTF">2018-07-13T16:58:00Z</dcterms:modified>
</cp:coreProperties>
</file>