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Njau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March 1974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162/1973 (66/74)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Trevelyan and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&amp; Procedure – Sentence – Dangerous driving – Causing death – Custodial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sentence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substituted for fine.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of causing death by dangerous driving and was sentenced to pay a fine. The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facts</w:t>
      </w:r>
      <w:proofErr w:type="gramEnd"/>
      <w:r>
        <w:rPr>
          <w:rFonts w:ascii="Times New Roman" w:hAnsi="Times New Roman" w:cs="Times New Roman"/>
          <w:color w:val="000000"/>
        </w:rPr>
        <w:t xml:space="preserve"> upheld by the High Court showed deliberate risk-taking by the appellant while driving a lorry load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boys.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appeal.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in such circumstances a custodial sentence must be imposed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 </w:t>
      </w:r>
      <w:r>
        <w:rPr>
          <w:rFonts w:ascii="Times New Roman" w:hAnsi="Times New Roman" w:cs="Times New Roman"/>
          <w:color w:val="000000"/>
        </w:rPr>
        <w:t xml:space="preserve">(1)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Khalif</w:t>
      </w:r>
      <w:proofErr w:type="spellEnd"/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v. Republic </w:t>
      </w:r>
      <w:r>
        <w:rPr>
          <w:rFonts w:ascii="Times New Roman" w:hAnsi="Times New Roman" w:cs="Times New Roman"/>
          <w:color w:val="000000"/>
        </w:rPr>
        <w:t>(2) considered).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Sentence of 3 years’ imprisonment substituted.</w:t>
      </w:r>
    </w:p>
    <w:p w:rsidR="009B0102" w:rsidRDefault="009B0102" w:rsidP="009B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6B48C8" w:rsidRDefault="009B0102" w:rsidP="009B0102"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[1971] E.A. 493.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02"/>
    <w:rsid w:val="006B48C8"/>
    <w:rsid w:val="009A67CD"/>
    <w:rsid w:val="009B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A2966-A5FA-42C8-9A28-5F394B51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2018-07-05T13:47:00Z</dcterms:created>
  <dcterms:modified xsi:type="dcterms:W3CDTF">2018-07-13T16:58:00Z</dcterms:modified>
</cp:coreProperties>
</file>