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Njoya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 v Attorney-General and others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March 2004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82/04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, Kubo JJ and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Constitution – Amendment and review – Whether the power of amendment allows Parliament to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repeal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and replace entire Constitution – Section 47 – Constitution of Kenya – Sections 26, 27 and 28 –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Kenya Review Act (Chapter 3A).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Constitution – Fundamental rights – Discrimination – Composition of constituent assembly skewed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against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certain regions – Whether skewed representation amounted to discrimination against Applicants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Applicants entitled to redress – Section 82 – Constitution of Kenya.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Constitution – Interpretation – Narrow and broad construction – Whether Constitution should be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given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literal interpretation – Nature of teleological interpretation incorporating fundamental values and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principles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[4] Constitution – Review – Constituent power – Whether constituent power enjoys juristic content –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Exercise of constituent power by the people – Direct and indirect exercise – Whether direct referendum a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mandatory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organ of review – Proper mode of representation in constituent assembly – Whether skewed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representation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assembly discriminated against Applicants personally – Sections 1, 3, 3A and 82 –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Constitution of Kenya.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8336C" w:rsidRDefault="00347E4F" w:rsidP="00483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continuous political pressure, Parliament enacted the Constitution of Kenya Review Act (Chapter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3A) to facilitate the comprehensive review of the Constitution. It provided for the establishment of a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 to prepare a draft Constitution and oversee the process of review, culminating in a national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Conference. The Act provided for the possibility of a referendum on items for which two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thirds majority of the Constitution Conference (“the </w:t>
      </w:r>
      <w:proofErr w:type="spellStart"/>
      <w:r>
        <w:rPr>
          <w:rFonts w:ascii="Times New Roman" w:hAnsi="Times New Roman" w:cs="Times New Roman"/>
          <w:color w:val="000000"/>
        </w:rPr>
        <w:t>Bomas</w:t>
      </w:r>
      <w:proofErr w:type="spellEnd"/>
      <w:r>
        <w:rPr>
          <w:rFonts w:ascii="Times New Roman" w:hAnsi="Times New Roman" w:cs="Times New Roman"/>
          <w:color w:val="000000"/>
        </w:rPr>
        <w:t xml:space="preserve"> Conference”) could not be attained.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During the course of the </w:t>
      </w:r>
      <w:proofErr w:type="spellStart"/>
      <w:r>
        <w:rPr>
          <w:rFonts w:ascii="Times New Roman" w:hAnsi="Times New Roman" w:cs="Times New Roman"/>
          <w:color w:val="000000"/>
        </w:rPr>
        <w:t>Bomas</w:t>
      </w:r>
      <w:proofErr w:type="spellEnd"/>
      <w:r>
        <w:rPr>
          <w:rFonts w:ascii="Times New Roman" w:hAnsi="Times New Roman" w:cs="Times New Roman"/>
          <w:color w:val="000000"/>
        </w:rPr>
        <w:t xml:space="preserve"> Conference, the delegates became deeply divided over a number of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core issues, including the question of whether to adopt a Presidential, Parliamentary or hybrid system of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government, and the structure of devolved government. Complaints increased that the composition of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Bomas</w:t>
      </w:r>
      <w:proofErr w:type="spellEnd"/>
      <w:r>
        <w:rPr>
          <w:rFonts w:ascii="Times New Roman" w:hAnsi="Times New Roman" w:cs="Times New Roman"/>
          <w:color w:val="000000"/>
        </w:rPr>
        <w:t xml:space="preserve"> and the design of the review process were skewed undemocratically in favour of some parties.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this background, seven Kenyans applied to the High Court for orders that the review Act was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claimed that (1) the non-inclusion of a compulsory referendum on the entire document vitiated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constituent power of the Applicants, (2) the two-thirds voting majority at the conference was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unconstitutional, (3) the manner of composition of the conference was skewed and discriminatory against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Applicants, and (4) the manner in which the Commission and the Conference had functioned did not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faithfully and fairly capture the views of the Applicants. The Court dealt with these matters, as well as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question of constitutional interpretation, and whether Parliament was empowered to enact a new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within the power of amendment granted in section 47 of the Constitution.</w:t>
      </w:r>
      <w:r w:rsidR="0048336C">
        <w:rPr>
          <w:rFonts w:ascii="Times New Roman" w:hAnsi="Times New Roman" w:cs="Times New Roman"/>
          <w:color w:val="000000"/>
        </w:rPr>
        <w:t xml:space="preserve"> </w:t>
      </w:r>
    </w:p>
    <w:p w:rsidR="0048336C" w:rsidRDefault="0048336C" w:rsidP="00483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347E4F" w:rsidRDefault="00347E4F" w:rsidP="00483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and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AJ; Kubo J dissenting) – Quite unlike an Act of Parliament which is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subordinate, the Constitution should be given a broad liberal and purposive interpretation to give effect to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fundamental values and principles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Crispus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Njogu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AG </w:t>
      </w:r>
      <w:r>
        <w:rPr>
          <w:rFonts w:ascii="Times New Roman" w:hAnsi="Times New Roman" w:cs="Times New Roman"/>
          <w:color w:val="000000"/>
        </w:rPr>
        <w:t>criminal application number 39 of 2000,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followed;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Ndyanabo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AG </w:t>
      </w:r>
      <w:r>
        <w:rPr>
          <w:rFonts w:ascii="Times New Roman" w:hAnsi="Times New Roman" w:cs="Times New Roman"/>
          <w:color w:val="000000"/>
        </w:rPr>
        <w:t xml:space="preserve">[2001] 2 EA 485 approved; </w:t>
      </w:r>
      <w:r>
        <w:rPr>
          <w:rFonts w:ascii="Times New Roman" w:hAnsi="Times New Roman" w:cs="Times New Roman"/>
          <w:i/>
          <w:iCs/>
          <w:color w:val="000000"/>
        </w:rPr>
        <w:t xml:space="preserve">Republic v Elman </w:t>
      </w:r>
      <w:r>
        <w:rPr>
          <w:rFonts w:ascii="Times New Roman" w:hAnsi="Times New Roman" w:cs="Times New Roman"/>
          <w:color w:val="000000"/>
        </w:rPr>
        <w:t>[1969] EA 357 disapproved).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sovereignty of the people betokens that they have a constituent power, by which all citizens can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make or change the Constitution. This power, while not expressly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>, has a juridical status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within the Constitution. This constituent power must be exercised indirectly through a constituent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within the phase of Constitution-making. It must thereafter be exercised directly through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referendum whereby every Kenyan votes to adopt the Constitution.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only one third of the delegates to the National Conference were directly elected by the people,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Conference lacked the peoples’ mandate, and hence was not a </w:t>
      </w:r>
      <w:r>
        <w:rPr>
          <w:rFonts w:ascii="Times New Roman" w:hAnsi="Times New Roman" w:cs="Times New Roman"/>
          <w:color w:val="000000"/>
        </w:rPr>
        <w:lastRenderedPageBreak/>
        <w:t>proper constituent assembly. Further,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amount of antecedent history of skewed representation could justify the turning of minorities into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majorities, as had happened in the composition of the Conference (</w:t>
      </w:r>
      <w:r>
        <w:rPr>
          <w:rFonts w:ascii="Times New Roman" w:hAnsi="Times New Roman" w:cs="Times New Roman"/>
          <w:i/>
          <w:iCs/>
          <w:color w:val="000000"/>
        </w:rPr>
        <w:t xml:space="preserve">Reynolds v Simms </w:t>
      </w:r>
      <w:r>
        <w:rPr>
          <w:rFonts w:ascii="Times New Roman" w:hAnsi="Times New Roman" w:cs="Times New Roman"/>
          <w:color w:val="000000"/>
        </w:rPr>
        <w:t>[377 US 533 12 L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] at 506 adopted).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and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AJ; Kubo J dissenting) Since none of the Applicants’ personal rights had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infringed, the declarations sought should not be issued (</w:t>
      </w:r>
      <w:r>
        <w:rPr>
          <w:rFonts w:ascii="Times New Roman" w:hAnsi="Times New Roman" w:cs="Times New Roman"/>
          <w:i/>
          <w:iCs/>
          <w:color w:val="000000"/>
        </w:rPr>
        <w:t xml:space="preserve">Adar v Attorney-General </w:t>
      </w:r>
      <w:r>
        <w:rPr>
          <w:rFonts w:ascii="Times New Roman" w:hAnsi="Times New Roman" w:cs="Times New Roman"/>
          <w:color w:val="000000"/>
        </w:rPr>
        <w:t>miscellaneous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application number 14 of 1994 applied).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did not have the power, in the exercise of its amendment power under section 47 of the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Constitution, to repeal the current Constitution and enact a new one. It only had power to change some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provisions of the Constitution. There is no power to alter the basic structure of the Constitution since this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part of the constituent power that rests with the people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Kessevananda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State of Kerala </w:t>
      </w:r>
      <w:r>
        <w:rPr>
          <w:rFonts w:ascii="Times New Roman" w:hAnsi="Times New Roman" w:cs="Times New Roman"/>
          <w:color w:val="000000"/>
        </w:rPr>
        <w:t>[1973] AIR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SC 1461 adopted;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so Lung v Minister for Home Affairs </w:t>
      </w:r>
      <w:r>
        <w:rPr>
          <w:rFonts w:ascii="Times New Roman" w:hAnsi="Times New Roman" w:cs="Times New Roman"/>
          <w:color w:val="000000"/>
        </w:rPr>
        <w:t>[1990] RC 490 distinguished). Hence section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28 of the Review Act, which required Parliament to enact the Constitution Review Bill within seven days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publication, was inconsistent with section 47 of the Constitution.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injunction would be granted as the Constitutional Conference had completed its work and the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prayer had been overtaken by events.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curiam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J): The fundamental values and principles according to which the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Constitution must be interpreted are constitutionalism (limited government under rule of law), equality of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citizens, the doctrine of separation of powers and the enjoyment of fundamental rights and freedoms.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and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AJ) While a constituent assembly does not have to comprise only directly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elected members, such directly elected members must form the majority of the assembly. Some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 representation of minority and special interests may also be advisable. Kenya is a multicultural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society and representation should not be on the basis of population alone.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 and </w:t>
      </w:r>
      <w:proofErr w:type="spellStart"/>
      <w:r>
        <w:rPr>
          <w:rFonts w:ascii="Times New Roman" w:hAnsi="Times New Roman" w:cs="Times New Roman"/>
          <w:color w:val="000000"/>
        </w:rPr>
        <w:t>Kasango</w:t>
      </w:r>
      <w:proofErr w:type="spellEnd"/>
      <w:r>
        <w:rPr>
          <w:rFonts w:ascii="Times New Roman" w:hAnsi="Times New Roman" w:cs="Times New Roman"/>
          <w:color w:val="000000"/>
        </w:rPr>
        <w:t xml:space="preserve"> AJ) Democratic representation must reflect a balance between the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majoritarian principle of one person one vote and the equally democratic dictate of minority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accommodation, in other words equality and equity. However, to accommodate minorities does not entail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reversing the democratic equation by having minority dominance in representative forums.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J) Kenya has had 38 constitutional amendments in her history. Some of these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amendments effected significant changes in the basic structure of government. These changes were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however not challenged in the courts and are now part of the Constitution. However, there is no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precedent in Kenya for the proposition that Parliament can make a new Constitution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Declarations issued to the effect that (1) a compulsory referendum and representative constituent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assembly are mandatory in the process of Constitution review, (2) the determination of contentious issues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constituent assembly by two thirds majority infringed the applicant’s right to a referendum, and (3)</w:t>
      </w:r>
      <w:r w:rsidR="00483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Parliament only had the power to alter but not to enact a new Constitution.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Each party to bear its own costs.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Adar and others v Attorney-General and others </w:t>
      </w:r>
      <w:r>
        <w:rPr>
          <w:rFonts w:ascii="Times New Roman" w:hAnsi="Times New Roman" w:cs="Times New Roman"/>
          <w:color w:val="000000"/>
        </w:rPr>
        <w:t>miscellaneous civil application number 14 of 1994 (UR)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Githunguri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1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Matiba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High Court civil miscellaneous appeal number 666 of 1990 (UR)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Michuki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Attorney-General and others </w:t>
      </w:r>
      <w:r>
        <w:rPr>
          <w:rFonts w:ascii="Times New Roman" w:hAnsi="Times New Roman" w:cs="Times New Roman"/>
          <w:color w:val="000000"/>
        </w:rPr>
        <w:t>[2003] 1 EA 158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Mutunga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[1986] KLR 167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Ndyanabo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[2001] 2 EA 485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Nganga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[1985] KLR 121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Njogu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>[2000] LLR 2275 (HCK)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Republic v El Mann </w:t>
      </w:r>
      <w:r>
        <w:rPr>
          <w:rFonts w:ascii="Times New Roman" w:hAnsi="Times New Roman" w:cs="Times New Roman"/>
          <w:color w:val="000000"/>
        </w:rPr>
        <w:t>[1969] EA 357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v Commissioner of Prisons </w:t>
      </w:r>
      <w:r>
        <w:rPr>
          <w:rFonts w:ascii="Times New Roman" w:hAnsi="Times New Roman" w:cs="Times New Roman"/>
          <w:color w:val="000000"/>
        </w:rPr>
        <w:t xml:space="preserve">ex parte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Matovu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[1966] EA 514</w:t>
      </w:r>
      <w:bookmarkStart w:id="0" w:name="_GoBack"/>
      <w:bookmarkEnd w:id="0"/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India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Keshava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Menon v State of Bombay </w:t>
      </w:r>
      <w:r>
        <w:rPr>
          <w:rFonts w:ascii="Times New Roman" w:hAnsi="Times New Roman" w:cs="Times New Roman"/>
          <w:color w:val="000000"/>
        </w:rPr>
        <w:t>[1951] SCR 228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Kessevananda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State of Kerala </w:t>
      </w:r>
      <w:r>
        <w:rPr>
          <w:rFonts w:ascii="Times New Roman" w:hAnsi="Times New Roman" w:cs="Times New Roman"/>
          <w:color w:val="000000"/>
        </w:rPr>
        <w:t>[1973] AIR (SC) 1461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Minerva Mills Limited v Union of India </w:t>
      </w:r>
      <w:r>
        <w:rPr>
          <w:rFonts w:ascii="Times New Roman" w:hAnsi="Times New Roman" w:cs="Times New Roman"/>
          <w:color w:val="000000"/>
        </w:rPr>
        <w:t>[1981] 1 SCR 206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lastRenderedPageBreak/>
        <w:t>Singapore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Teo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So Lung v Minister for Home Affairs </w:t>
      </w:r>
      <w:r>
        <w:rPr>
          <w:rFonts w:ascii="Times New Roman" w:hAnsi="Times New Roman" w:cs="Times New Roman"/>
          <w:color w:val="000000"/>
        </w:rPr>
        <w:t>[1990] LRC 490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Barnes v Jarvis </w:t>
      </w:r>
      <w:r>
        <w:rPr>
          <w:rFonts w:ascii="Times New Roman" w:hAnsi="Times New Roman" w:cs="Times New Roman"/>
          <w:color w:val="000000"/>
        </w:rPr>
        <w:t>[1953] I WLR 649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States of America</w:t>
      </w:r>
    </w:p>
    <w:p w:rsidR="00347E4F" w:rsidRDefault="00347E4F" w:rsidP="0034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 Reynolds v MO Sims USSC </w:t>
      </w:r>
      <w:r>
        <w:rPr>
          <w:rFonts w:ascii="Times New Roman" w:hAnsi="Times New Roman" w:cs="Times New Roman"/>
          <w:color w:val="000000"/>
        </w:rPr>
        <w:t>Report [1963] Volume 12</w:t>
      </w:r>
    </w:p>
    <w:p w:rsidR="00575C55" w:rsidRDefault="00347E4F" w:rsidP="00347E4F">
      <w:r>
        <w:rPr>
          <w:rFonts w:ascii="Times New Roman" w:hAnsi="Times New Roman" w:cs="Times New Roman"/>
          <w:color w:val="000000"/>
        </w:rPr>
        <w:t>Reynolds v Simms [377 US 533, 12 L Ed] 506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E4F"/>
    <w:rsid w:val="00347E4F"/>
    <w:rsid w:val="0048336C"/>
    <w:rsid w:val="00575C55"/>
    <w:rsid w:val="00D77163"/>
    <w:rsid w:val="00D8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80B2C-04D1-4F57-94DE-67FF99E8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2018-07-04T18:06:00Z</dcterms:created>
  <dcterms:modified xsi:type="dcterms:W3CDTF">2018-07-13T17:03:00Z</dcterms:modified>
</cp:coreProperties>
</file>