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Njuguna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Minister for Agriculture</w:t>
      </w:r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January 2000</w:t>
      </w:r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144/00</w:t>
      </w:r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institute judicial review proceedings – Jurisdiction of the</w:t>
      </w:r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– Test for whether leave to institute proceedings should be granted.</w:t>
      </w:r>
    </w:p>
    <w:p w:rsidR="00EB0E4F" w:rsidRDefault="008818AA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B0E4F" w:rsidRDefault="00EB0E4F" w:rsidP="00881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SHAH and O’KUBASU JJA: </w:t>
      </w:r>
      <w:r>
        <w:rPr>
          <w:rFonts w:ascii="Times New Roman" w:hAnsi="Times New Roman" w:cs="Times New Roman"/>
          <w:color w:val="000000"/>
        </w:rPr>
        <w:t>On 12 June 2000, the seven Appellants now before us,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applied for leave for issuance of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to remove into the High Court and quash in their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entirety the following: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Firstly the Tea (Election) Regulations, 2000 made by the Minister for Agriculture (‘the Minister’)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purportedly in exercise of his powers under section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3, 4 and 5 of The Tea Act (Chapter 343, Laws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Kenya);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econdly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‘The Tea Elections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Programme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promulgated spelt out and/or pronounced vide the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Minister’s press statement dated 18 May 2000 insofar as the said statement its policy contents and/or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 is to decree/direct that the elections affecting the running and management of Tea Factories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constituted incorporated registered under the Companies Act (Chapter 486, Laws of Kenya) do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 and/or be held by 19 June 2000 and/or any other date or at all”.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also applied for leave for issuance of: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“Prohibition prohibiting the Minister from implementing the policy order/decree called ‘The Tea Elections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Programme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promulgated spelt out at and/or pronounced vide the said statement insofar as the same is to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decree/direct and/or call elections affecting the running and management of Tea Factories constituted and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incorporated and registered as limited liability companies under the said Companies Act to commence and/or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held on 19 June, 2000 and/or any other date or at all”.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also sought orders to the effect that the leave so sought do operate as a stay of “The Tea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(Elections) Regulations” and “The Tea Elections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>”.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application came up for hearing before the superior court (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J) on 13 June 2000 when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argued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Muturi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Applicants. On 14 June 2000 the Learned Judge declined to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the application and dismissed the same. It is against that dismissal by the Learned Judge that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have appealed to this Court.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Grounds one, two and three in the memorandum of appeal were argued together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 w:rsidR="008818A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grounds four and five were argued together. The said grounds are: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Learned Judge erred in law in: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F ailing to appreciate that the Minister’s (Respondent’s) delegated power/authority to make subsidiary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Rules under the Tea Act is not unlimited: is amenable to censure by way of Judicial Review at all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times to ensure that the same (Rules) are in accord with the policy objective and aspirations of the said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Act;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olding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promulgation of the impugned Rules by the Minister was sacrosanct jurisdiction and/or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‘The High Court has no jurisdiction to quash a legislation however unpopular it may be’.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rematurely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peremptorily (at leave stage) holding that the Superior Court lacked judicial power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and/or authority whatsoever to grant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quash delegated legislation.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erogating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his judicial duty and/or discretion at leave stage: that his role then was to appraise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an arguable case had been made prima facie as evinced by the Statement.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 F ailing to appreciate that the application raised triable issues necessitating the grant of the orders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sought”.</w:t>
      </w:r>
      <w:r w:rsidR="008818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main complaint was based on ground four of the above-mentioned grounds of appeal.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Judge,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argued, abdicated his role at the leave application stage, that is to say, instead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ruling on whether there was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to go for full arguments later, the Learned Judge ruled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subsidiary legislation could not be challenged in a court of law. The Learned Judge ruled that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subsidiary legislation enjoys the status of written law and that a court has no jurisdiction to quash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subsidiary legislation however unpopular it may be. The Judge went on further to say that even assuming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grounds in support of the application were valid, that is that even if the Tea (Election)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Regulations 2000 were </w:t>
      </w:r>
      <w:r>
        <w:rPr>
          <w:rFonts w:ascii="Times New Roman" w:hAnsi="Times New Roman" w:cs="Times New Roman"/>
          <w:i/>
          <w:iCs/>
          <w:color w:val="000000"/>
        </w:rPr>
        <w:t xml:space="preserve">ultra vires </w:t>
      </w:r>
      <w:r>
        <w:rPr>
          <w:rFonts w:ascii="Times New Roman" w:hAnsi="Times New Roman" w:cs="Times New Roman"/>
          <w:color w:val="000000"/>
        </w:rPr>
        <w:t>their parent Act (The Tea Act, Chapter 343), the Court could not have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power, on an application for an order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, to quash the said Regulations. With respect,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erred. He ruled on the merits of the application yet to come (after leave was granted).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denied that leave should be granted, if on the material available, the Court considers,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going into the matter in depth, that there is an arguable case for granting leave. The appropriate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for challenging such leave subsequently is by an application by the Respondent under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inherent jurisdiction of the Court, to </w:t>
      </w:r>
      <w:r>
        <w:rPr>
          <w:rFonts w:ascii="Times New Roman" w:hAnsi="Times New Roman" w:cs="Times New Roman"/>
          <w:color w:val="000000"/>
        </w:rPr>
        <w:lastRenderedPageBreak/>
        <w:t xml:space="preserve">the Judge who granted leave, to set aside such leave. See </w:t>
      </w:r>
      <w:r>
        <w:rPr>
          <w:rFonts w:ascii="Times New Roman" w:hAnsi="Times New Roman" w:cs="Times New Roman"/>
          <w:i/>
          <w:iCs/>
          <w:color w:val="000000"/>
        </w:rPr>
        <w:t>Halsbury’s</w:t>
      </w:r>
      <w:r w:rsidR="008818A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Laws of England </w:t>
      </w:r>
      <w:r>
        <w:rPr>
          <w:rFonts w:ascii="Times New Roman" w:hAnsi="Times New Roman" w:cs="Times New Roman"/>
          <w:color w:val="000000"/>
        </w:rPr>
        <w:t>(4 Ed) Volume 1(1) paragraph 167 at page 276.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the issues taken up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there was nothing in the Tea Act to enable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to order election of office-bearers of an individual tea factory run by a private limited company.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certainly is an arguable point. Another point was that the Minister was not empowered to order or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 or regulate elections to be conducted by tea factories. We need not go into all issues or even all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of appeal as we would then be trespassing on the jurisdiction of the court which may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eventually hear the application brought under Order 53, Rule 3 of the Civil Procedure Rules.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r>
        <w:rPr>
          <w:rFonts w:ascii="Times New Roman" w:hAnsi="Times New Roman" w:cs="Times New Roman"/>
          <w:color w:val="000000"/>
        </w:rPr>
        <w:t>who appeared for the Minister conceded, and in our view quite rightly so, that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went beyond the ambit of his jurisdiction by ruling on substantive issues.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 are satisfied that the Learned Judge ought to have granted leave to the Appellants for lodging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for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 prohibition. As he did not do so it is within our jurisdiction to grant such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leave. The order that we make is that we set aside the order of the Learned Judge dismissing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application for leave to apply and substitute it with an order granting leave as prayed for in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chamber summons dated 9 June 2000.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cannot make an order that the grant of such leave do operate as stay of the implementation of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Regulations or the said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>. This is because, we are informed, the elections have already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place and the issue of stay has been overtaken by events. We therefore allow this appeal to the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 already stated. The Appellants will have the costs of this appeal.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Applicants:</w:t>
      </w:r>
      <w:r w:rsidR="008818A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Assoc</w:t>
      </w:r>
      <w:proofErr w:type="spellEnd"/>
    </w:p>
    <w:p w:rsidR="00EB0E4F" w:rsidRDefault="00EB0E4F" w:rsidP="00EB0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EB0E4F" w:rsidP="00EB0E4F">
      <w:r>
        <w:rPr>
          <w:rFonts w:ascii="Times New Roman" w:hAnsi="Times New Roman" w:cs="Times New Roman"/>
          <w:i/>
          <w:iCs/>
          <w:color w:val="000000"/>
        </w:rPr>
        <w:t xml:space="preserve">M Kimani </w:t>
      </w:r>
      <w:r>
        <w:rPr>
          <w:rFonts w:ascii="Times New Roman" w:hAnsi="Times New Roman" w:cs="Times New Roman"/>
          <w:color w:val="000000"/>
        </w:rPr>
        <w:t xml:space="preserve">instructed by the </w:t>
      </w:r>
      <w:r>
        <w:rPr>
          <w:rFonts w:ascii="Times New Roman" w:hAnsi="Times New Roman" w:cs="Times New Roman"/>
          <w:i/>
          <w:iCs/>
          <w:color w:val="000000"/>
        </w:rPr>
        <w:t>Attorney-General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4F"/>
    <w:rsid w:val="00664035"/>
    <w:rsid w:val="008818AA"/>
    <w:rsid w:val="00EB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BACC2-29DB-4F72-ADB7-3CD9DBD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2018-07-05T12:36:00Z</dcterms:created>
  <dcterms:modified xsi:type="dcterms:W3CDTF">2018-07-13T17:12:00Z</dcterms:modified>
</cp:coreProperties>
</file>