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Nkoloma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NBC Holdings Corporation Ltd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Division: Court of Appeal of Tanzania at Dodoma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 of judgment: 15 September 2000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Number: 44/97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Lubuva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Lugakingira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Sourced by: L J S </w:t>
      </w:r>
      <w:proofErr w:type="spellStart"/>
      <w:r>
        <w:rPr>
          <w:rFonts w:ascii="Times New Roman" w:hAnsi="Times New Roman" w:cs="Times New Roman"/>
          <w:color w:val="000000"/>
        </w:rPr>
        <w:t>Mwandambo</w:t>
      </w:r>
      <w:proofErr w:type="spellEnd"/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Summarised</w:t>
      </w:r>
      <w:proofErr w:type="spellEnd"/>
      <w:r>
        <w:rPr>
          <w:rFonts w:ascii="Times New Roman" w:hAnsi="Times New Roman" w:cs="Times New Roman"/>
          <w:color w:val="000000"/>
        </w:rPr>
        <w:t xml:space="preserve"> by: H K Mutai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Bank – Loan – Overdraft account – Banker’s Order Card – Combination of accounts – Transfer of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funds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from an account in credit to loan account in debit – Whether bank justified in combining accounts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Whether plea of </w:t>
      </w:r>
      <w:proofErr w:type="spellStart"/>
      <w:r>
        <w:rPr>
          <w:rFonts w:ascii="Times New Roman" w:hAnsi="Times New Roman" w:cs="Times New Roman"/>
          <w:color w:val="000000"/>
        </w:rPr>
        <w:t xml:space="preserve">non </w:t>
      </w:r>
      <w:proofErr w:type="gramStart"/>
      <w:r>
        <w:rPr>
          <w:rFonts w:ascii="Times New Roman" w:hAnsi="Times New Roman" w:cs="Times New Roman"/>
          <w:color w:val="000000"/>
        </w:rPr>
        <w:t>est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factum </w:t>
      </w:r>
      <w:r>
        <w:rPr>
          <w:rFonts w:ascii="Times New Roman" w:hAnsi="Times New Roman" w:cs="Times New Roman"/>
          <w:i/>
          <w:iCs/>
          <w:color w:val="000000"/>
        </w:rPr>
        <w:t>regarding BOC could be maintained – Whether bank could hold a lien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over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customer’s account in credit – Whether a bank was obliged to give notice to a customer before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combining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accounts.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6632F" w:rsidRDefault="001E42A8" w:rsidP="00366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1990 the Appellant obtained a loan of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9 300 000 from the Respondent through his account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18-0009. The loan was to be repaid with effect from 31 March 1992. He later obtained an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overdraft facility from the Respondent for the period 1991 to 1994 on account number 25/549. As part of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conditions for the loan, the Appellant was to open an ordinary account and execute a Banker’s Order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Card (BOC) </w:t>
      </w:r>
      <w:proofErr w:type="spellStart"/>
      <w:r>
        <w:rPr>
          <w:rFonts w:ascii="Times New Roman" w:hAnsi="Times New Roman" w:cs="Times New Roman"/>
          <w:color w:val="000000"/>
        </w:rPr>
        <w:t>authorising</w:t>
      </w:r>
      <w:proofErr w:type="spellEnd"/>
      <w:r>
        <w:rPr>
          <w:rFonts w:ascii="Times New Roman" w:hAnsi="Times New Roman" w:cs="Times New Roman"/>
          <w:color w:val="000000"/>
        </w:rPr>
        <w:t xml:space="preserve"> the Respondent to debit loan instalments as and when they fell due. The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also obliged to pay a commitment fee and interest on the loan at a rate of 27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>% per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annum payable quarterly. The ordinary account was never opened but the BOC was signed on 14 October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1992 to take effect from 27 October 1992. Over a period of time starting on 28 September 1991 and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ending on 29 December 1994, various amounts of money were transferred from the overdraft account by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to the loan account number 18-0009 and used to service the loan. Five of the deductions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made before the signing of the BOC and eight afterwards. The Appellant brought suit against the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seeking a refund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amount deducted and interest thereon on the ground that the Respondent had neither legal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justification nor his consent to carry out the deductions. His suit was dismissed by the High Court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whereupon he brought the present appeal in the Court of Appeal. His primary grounds of appeal were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his plea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 xml:space="preserve">non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est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factum </w:t>
      </w:r>
      <w:r>
        <w:rPr>
          <w:rFonts w:ascii="Times New Roman" w:hAnsi="Times New Roman" w:cs="Times New Roman"/>
          <w:color w:val="000000"/>
        </w:rPr>
        <w:t>was wrongly rejected and that the trial Judge erred in finding that the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had a lien on the money deducted. Counsel for the Respondent submitted,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five deductions were effected under the bank’s inherent power to debit a borrower’s account with a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 balance, that the BOC authorised the deductions for the repayments and that the Respondent had a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lien on monies in the bank belonging to the Appellant.</w:t>
      </w:r>
      <w:r w:rsidR="0036632F">
        <w:rPr>
          <w:rFonts w:ascii="Times New Roman" w:hAnsi="Times New Roman" w:cs="Times New Roman"/>
          <w:color w:val="000000"/>
        </w:rPr>
        <w:t xml:space="preserve"> </w:t>
      </w:r>
    </w:p>
    <w:p w:rsidR="0036632F" w:rsidRDefault="0036632F" w:rsidP="00366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E42A8" w:rsidRDefault="001E42A8" w:rsidP="003663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first five deductions could not have been carried out under the authority of the BOC as it was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even in existence at the time and, indeed, as to three of them, the date for the repayment of the loan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not even arrived. However, the fact that the Appellant’s counsel had not questioned this fact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suggested that these deductions could be justified as payments of the commitment fee and interest.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plea of </w:t>
      </w:r>
      <w:r w:rsidR="0036632F">
        <w:rPr>
          <w:rFonts w:ascii="Times New Roman" w:hAnsi="Times New Roman" w:cs="Times New Roman"/>
          <w:i/>
          <w:iCs/>
          <w:color w:val="000000"/>
        </w:rPr>
        <w:t>non-</w:t>
      </w:r>
      <w:proofErr w:type="spellStart"/>
      <w:r w:rsidR="0036632F">
        <w:rPr>
          <w:rFonts w:ascii="Times New Roman" w:hAnsi="Times New Roman" w:cs="Times New Roman"/>
          <w:i/>
          <w:iCs/>
          <w:color w:val="000000"/>
        </w:rPr>
        <w:t>est</w:t>
      </w:r>
      <w:bookmarkStart w:id="0" w:name="_GoBack"/>
      <w:bookmarkEnd w:id="0"/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factum </w:t>
      </w:r>
      <w:r>
        <w:rPr>
          <w:rFonts w:ascii="Times New Roman" w:hAnsi="Times New Roman" w:cs="Times New Roman"/>
          <w:color w:val="000000"/>
        </w:rPr>
        <w:t>regarding the BOC could not be upheld as the opening of a BOC had been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of the terms of the loan agreement, an agreement that had been read out to the Appellant and that he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signed in the presence of his advocate. The eight deductions made between 28 December 1992 and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29 December </w:t>
      </w:r>
      <w:r w:rsidR="0036632F">
        <w:rPr>
          <w:rFonts w:ascii="Times New Roman" w:hAnsi="Times New Roman" w:cs="Times New Roman"/>
          <w:color w:val="000000"/>
        </w:rPr>
        <w:t>1994 that</w:t>
      </w:r>
      <w:r>
        <w:rPr>
          <w:rFonts w:ascii="Times New Roman" w:hAnsi="Times New Roman" w:cs="Times New Roman"/>
          <w:color w:val="000000"/>
        </w:rPr>
        <w:t xml:space="preserve"> is after the coming into operation of the BOC, were therefore validly made under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authority.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power of a bank to combine accounts where a customer had more than one account with a bank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common law right exercisable in the context of a banker/customer relationship. It could only be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exercised where a customer was unable or unwilling to repay an overdraft incurred in one account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although another account was in credit or where a customer drew a </w:t>
      </w:r>
      <w:proofErr w:type="spellStart"/>
      <w:r>
        <w:rPr>
          <w:rFonts w:ascii="Times New Roman" w:hAnsi="Times New Roman" w:cs="Times New Roman"/>
          <w:color w:val="000000"/>
        </w:rPr>
        <w:t>cheque</w:t>
      </w:r>
      <w:proofErr w:type="spellEnd"/>
      <w:r>
        <w:rPr>
          <w:rFonts w:ascii="Times New Roman" w:hAnsi="Times New Roman" w:cs="Times New Roman"/>
          <w:color w:val="000000"/>
        </w:rPr>
        <w:t xml:space="preserve"> for an amount exceeding the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balance in the account involved but the deficiency could be made up using funds in another account.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there was no agreement to keep the funds separate, a bank was not obliged to give notice to the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customer before combining the accounts. Furthermore, where a customer was aware of his commitments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 bank but deliberately avoided meeting them, then the bank was entitled to combine accounts without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notice even where there was an agreement not to do so. The bank was therefore justified in combining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accounts.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issue of lien, </w:t>
      </w:r>
      <w:r>
        <w:rPr>
          <w:rFonts w:ascii="Times New Roman" w:hAnsi="Times New Roman" w:cs="Times New Roman"/>
          <w:color w:val="000000"/>
        </w:rPr>
        <w:lastRenderedPageBreak/>
        <w:t>a lien could not attach the balance standing to the credit of a customer’s account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that money was part of the bank’s general funds and the bank could not have a lien over its own</w:t>
      </w:r>
      <w:r w:rsidR="0036632F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property, especially when that property was also in its possession.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appeal would therefore be dismissed.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Buckingham Co v London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Mindland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</w:t>
      </w:r>
      <w:r>
        <w:rPr>
          <w:rFonts w:ascii="Times New Roman" w:hAnsi="Times New Roman" w:cs="Times New Roman"/>
          <w:color w:val="000000"/>
        </w:rPr>
        <w:t>(1895) 12 TLR 70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Teale v William, William and others </w:t>
      </w:r>
      <w:r>
        <w:rPr>
          <w:rFonts w:ascii="Times New Roman" w:hAnsi="Times New Roman" w:cs="Times New Roman"/>
          <w:color w:val="000000"/>
        </w:rPr>
        <w:t>(1984) 11 TLR 56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189 of [2000] 1 EA 187 (CAT)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1E42A8" w:rsidRDefault="001E42A8" w:rsidP="001E42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Garnett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M’Kewan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(1872) LR 8 Ex 10</w:t>
      </w:r>
    </w:p>
    <w:p w:rsidR="00664035" w:rsidRDefault="001E42A8" w:rsidP="001E42A8">
      <w:r>
        <w:rPr>
          <w:rFonts w:ascii="Times New Roman" w:hAnsi="Times New Roman" w:cs="Times New Roman"/>
          <w:i/>
          <w:iCs/>
          <w:color w:val="000000"/>
        </w:rPr>
        <w:t xml:space="preserve">National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Westminister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Halesowen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Presswork and Assemblies Ltd </w:t>
      </w:r>
      <w:r>
        <w:rPr>
          <w:rFonts w:ascii="Times New Roman" w:hAnsi="Times New Roman" w:cs="Times New Roman"/>
          <w:color w:val="000000"/>
        </w:rPr>
        <w:t>[1972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A8"/>
    <w:rsid w:val="001E42A8"/>
    <w:rsid w:val="0036632F"/>
    <w:rsid w:val="0066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5C209-B49F-4524-BBBB-0067DE07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2018-07-05T12:37:00Z</dcterms:created>
  <dcterms:modified xsi:type="dcterms:W3CDTF">2018-07-13T17:12:00Z</dcterms:modified>
</cp:coreProperties>
</file>