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Nkoloma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NBC Holdings Corporation Ltd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Division: Court of Appeal of Tanzania at Dodoma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 of judgment: 15 September 2000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Number: 44/97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Sourced by: L J S </w:t>
      </w:r>
      <w:proofErr w:type="spellStart"/>
      <w:r>
        <w:rPr>
          <w:rFonts w:ascii="Times New Roman" w:hAnsi="Times New Roman" w:cs="Times New Roman"/>
          <w:color w:val="000000"/>
        </w:rPr>
        <w:t>Mwandambo</w:t>
      </w:r>
      <w:proofErr w:type="spellEnd"/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by: H K Mutai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Bank – Loan – Overdraft account – Banker’s Order Card – Combination of accounts – Transfer of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funds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from an account in credit to loan account in debit – Whether bank justified in combining accounts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Whether plea of </w:t>
      </w:r>
      <w:proofErr w:type="spellStart"/>
      <w:r>
        <w:rPr>
          <w:rFonts w:ascii="Times New Roman" w:hAnsi="Times New Roman" w:cs="Times New Roman"/>
          <w:color w:val="000000"/>
        </w:rPr>
        <w:t xml:space="preserve">non </w:t>
      </w:r>
      <w:proofErr w:type="gramStart"/>
      <w:r>
        <w:rPr>
          <w:rFonts w:ascii="Times New Roman" w:hAnsi="Times New Roman" w:cs="Times New Roman"/>
          <w:color w:val="000000"/>
        </w:rPr>
        <w:t>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factum </w:t>
      </w:r>
      <w:r>
        <w:rPr>
          <w:rFonts w:ascii="Times New Roman" w:hAnsi="Times New Roman" w:cs="Times New Roman"/>
          <w:i/>
          <w:iCs/>
          <w:color w:val="000000"/>
        </w:rPr>
        <w:t>regarding BOC could be maintained – Whether bank could hold a lien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over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customer’s account in credit – Whether a bank was obliged to give notice to a customer before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combining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accounts.</w:t>
      </w:r>
    </w:p>
    <w:p w:rsidR="000B3C0E" w:rsidRDefault="006D1725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B3C0E" w:rsidRDefault="000B3C0E" w:rsidP="006D17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RAMADHANI JA: </w:t>
      </w:r>
      <w:r>
        <w:rPr>
          <w:rFonts w:ascii="Times New Roman" w:hAnsi="Times New Roman" w:cs="Times New Roman"/>
          <w:color w:val="000000"/>
        </w:rPr>
        <w:t>The Appellant unsuccessfully sued the Respondent bank in the High Court and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dissatisfied with that judgment he has come to this Court on appeal.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High Court the following facts were not in dispute. The Appellant had two accounts with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bank at </w:t>
      </w:r>
      <w:proofErr w:type="spellStart"/>
      <w:r>
        <w:rPr>
          <w:rFonts w:ascii="Times New Roman" w:hAnsi="Times New Roman" w:cs="Times New Roman"/>
          <w:color w:val="000000"/>
        </w:rPr>
        <w:t>Kuu</w:t>
      </w:r>
      <w:proofErr w:type="spellEnd"/>
      <w:r>
        <w:rPr>
          <w:rFonts w:ascii="Times New Roman" w:hAnsi="Times New Roman" w:cs="Times New Roman"/>
          <w:color w:val="000000"/>
        </w:rPr>
        <w:t xml:space="preserve"> Street Branch, Dodoma: Nos 18-0009 and 25/549. In 1991 he obtained a term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loan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9 300 000 for a hotel project payable in six years from 1992 through his account number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18-0009. On his account number 25/549, the Appellant got an overdraft facility for a shop project during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period of 1991 to 1994. The overdraft carried a higher interest rate than the tern loan. At various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times the Respondent bank transferred some monies totaling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16 719 837 from account 25/549 to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18-0009 and used it to service the term loan.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of the Appellant is that the Respondent had neither a legal justification nor his permission to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deduct that sum and prayed that that amount, together with interest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14 004 264, be repaid to him.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bank, on the other hand, claims that that amount was deducted on the strength of a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Banker’s Order signed by the Appellant on 14 October 1992 authorizing such deductions to service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 loan.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behalf of the Appellant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Paul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proofErr w:type="spellEnd"/>
      <w:r>
        <w:rPr>
          <w:rFonts w:ascii="Times New Roman" w:hAnsi="Times New Roman" w:cs="Times New Roman"/>
          <w:color w:val="000000"/>
        </w:rPr>
        <w:t>, learned advocate, while the Respondent had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services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Richard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color w:val="000000"/>
        </w:rPr>
        <w:t>, learned counsel. The Appellant has a five-ground memorandum of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appeal. The first ground is very general and it transcends all other grounds. It avers that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did not properly evaluate the evidence in favour of the Appellant. Obviously, then we have to deal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first ground in every one of the other four grounds.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four grounds are that: One, the finding that the money was justly deducted was wrong. Two, it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wrong to have found that the Respondent bank had a lien on the money. Three, the plea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 xml:space="preserve">non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est</w:t>
      </w:r>
      <w:proofErr w:type="spellEnd"/>
      <w:proofErr w:type="gramEnd"/>
      <w:r w:rsidR="006D1725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facutm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wrongly rejected. Four, the Learned Judge erred to hold that an account with an overdraft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facility could also be an ordinary account.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we examine the merits and/or demerits of the appeal, we think that it is necessary to go over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other established facts that, unfortunately, the lower court either overlooked or did not adequately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grips with.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loan contract was signed on 6 April 1990, and according to paragraph 3(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of the loan agreement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(exhibit P2), there was a period of grace of 23 months before repayment. The letter of 5 March 1990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(exhibit P1) in which the Respondent notified the Appellant the approval of the loan, fixed repayment to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start on 31 March 1992. The payment was to be quarterly at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475 000 per quarter, that is, a total of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1 900 000 per year.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interest at the rate of 27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>% per annum was also to be paid from the time the Appellant started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“using the term loan”. That, too, was to be paid quarterly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March, June, September and December of each year. Again, there was a commitment fee at the rate of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1% per annum “on the committed but undrawn [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] balance” of the loan. The fee accrued from 6 April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1990, that is, the date of signing the loan agreement.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repayment of the loan and the payment of interest thereon were to be executed as provided in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repayment schedule, appendix 1, to the loan agreement. However, that appendix is conspicuously absent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court record and neither party has said anything about it. So, we have never been in a position to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 what was the repayment schedule, how much interest and commitment fee was to be paid and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to open both an ordinary account and a Banker’s Order Card (BOC) authorizing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bank to debit loan instalments as and when they fell due. That account was never opened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a BOC (exhibit P8) was signed on 14 October 1992 and was to take effect from 27 October 1992 for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lastRenderedPageBreak/>
        <w:t xml:space="preserve">deduction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292 000 every quarter.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should put it on record here that the first deduction from the account 25/549 was on 28 September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1991 and was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1 046 250.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there were three ways in which the loan could have been repaid. One,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could have been repaid directly in cash by the Appellant. Two, repayment installments could have been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deducted through the BOC. Lastly, the Respondent could use the banking practice of debiting a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borrower’s account with a credit balance. It is significant to note that the Appellant has never explained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he effected the loan repayments and has been absolutely mum as to how much he had repaid. It is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abundantly obvious to us, therefore, that the Appellant did not repay a single cent directly in cash. So, we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to see whether it could be said that he repaid the loan by any of the other two methods or by a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combination of both.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already stated above, the BOC was signed on 14 October 1992 and was to take effect from 27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October 1992 for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292 000 each time. However, and as pointed out again, the first deduction from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25/549 was on 28 September 1991 and it was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1 046 250. That was followed by four other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deductions on 30 December 1991, 28 March 1992, 29 June 1992 and 2 October 1992 totaling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3 943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959-50. It is crystal clear that these could not have been deducted on the strength of the BOC because it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in existence, as appropriately pointed out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Indeed, the date for the repayment of the </w:t>
      </w:r>
      <w:proofErr w:type="gramStart"/>
      <w:r>
        <w:rPr>
          <w:rFonts w:ascii="Times New Roman" w:hAnsi="Times New Roman" w:cs="Times New Roman"/>
          <w:color w:val="000000"/>
        </w:rPr>
        <w:t>loan, that</w:t>
      </w:r>
      <w:proofErr w:type="gramEnd"/>
      <w:r>
        <w:rPr>
          <w:rFonts w:ascii="Times New Roman" w:hAnsi="Times New Roman" w:cs="Times New Roman"/>
          <w:color w:val="000000"/>
        </w:rPr>
        <w:t xml:space="preserve"> is 31 March 1992 was not yet due when the first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deductions of 28 September 1991 and 28 March 1992 were effected. So, it could not be said that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those amounts were for the repayment of the loan. But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question this fact. Was it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oversight or was the deduction justified?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have said earlier, interest at the rate of 27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>% was chargeable immediately upon the use of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 loan. We are not told when the term loan started to be used. Also the commitment fee at the rate of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1% on the amounts already committed but not drawn, accrued from the date of signing the loan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agreement, that is, from 6 April 1990. Is it possible, then, that the first deduction on 28 September 1991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1 046 250 was for servicing interest and the fee? On that date six instalments should have been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since the signing of the Agreement but none had been made. Couldn’t the payment of the two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commitments amount to that total? The onus was on the Appellant to show that the deducted amount was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wrongly taken.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trite law that it is up to the Appellant, as the Plaintiff, to establish that the Respondent was not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be paid that amount and any other subsequent amounts. He did not do that. So, we are left with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only deduction that the Respondent was entitled to those monies. This is what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on the balance of probabilities, we think that is so.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we are satisfied, as already pointed out, that the first five deductions were made when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BOC had not become operative. So, the Respondent did not deduct account 25/549 on the strength of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BOC. The other eight deductions, from that of 28 December 1992 to that of 29 December 1994, were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at time BOC was operative and so, were authorized by the BOC.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Appellant signed the BOC blindly, that the terms were not read out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him and that it would have been better if the BOC was attached to the loan agreement. We do not buy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 opening of a BOC was one of the terms of the loan agreement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signed by the Appellant in the presence of his advocate. The Appellant himself admitted in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cross-examination that the loan agreement was read to him by the bank manager. So, he cannot not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disown the BOC. We, therefore, hold that the eight deductions, from the one of 28 December 1992 to that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29 December 1994, were made under the BOC. The question is under what authority were the first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five deductions made? That disposes the ground of appeal that the plea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 xml:space="preserve">non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est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factum </w:t>
      </w:r>
      <w:r>
        <w:rPr>
          <w:rFonts w:ascii="Times New Roman" w:hAnsi="Times New Roman" w:cs="Times New Roman"/>
          <w:color w:val="000000"/>
        </w:rPr>
        <w:t>was wrongly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rejected: the Appellant was not at all mistaken as to the character or effect of the </w:t>
      </w:r>
      <w:proofErr w:type="spellStart"/>
      <w:r>
        <w:rPr>
          <w:rFonts w:ascii="Times New Roman" w:hAnsi="Times New Roman" w:cs="Times New Roman"/>
          <w:color w:val="000000"/>
        </w:rPr>
        <w:t>transation</w:t>
      </w:r>
      <w:proofErr w:type="spellEnd"/>
      <w:r>
        <w:rPr>
          <w:rFonts w:ascii="Times New Roman" w:hAnsi="Times New Roman" w:cs="Times New Roman"/>
          <w:color w:val="000000"/>
        </w:rPr>
        <w:t xml:space="preserve"> embodied in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loan agreement.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maintained that the first five deductions were effected under the inherent powers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bank to debit a borrower’s account with a credit balance. In addition, the learned advocate also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that the Respondent bank had a lien on the monies in the bank belonging to the Appellant.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there such an inherent power by which a bank can deduct one account of a customer to pay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liabilities of the customer under another account?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common law right of combination of accounts. A customer may have more than one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with a bank. In that case the bank has a right to combine the accounts and treat them as one. This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what is called combination of accounts. The accounts may be in one branch of the bank or in different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branches of the same bank. But here we shall deal with the former situation because that is what concerns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 in this appeal; the two accounts of the Appellant are both in the same branch of the Respondent bank.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Combination of accounts is also referred to as a right of set-off. This is a monetary cross-claim made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an action by a Plaintiff, that is, a legal right by </w:t>
      </w:r>
      <w:r>
        <w:rPr>
          <w:rFonts w:ascii="Times New Roman" w:hAnsi="Times New Roman" w:cs="Times New Roman"/>
          <w:color w:val="000000"/>
        </w:rPr>
        <w:lastRenderedPageBreak/>
        <w:t>which a debtor is entitled to take into account a debt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owing to him by a creditor when sued for a debt due from him to the creditor.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 right of combination of accounts or set-off is only exercisable in the context of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relationship of a banker and a customer (</w:t>
      </w:r>
      <w:r>
        <w:rPr>
          <w:rFonts w:ascii="Times New Roman" w:hAnsi="Times New Roman" w:cs="Times New Roman"/>
          <w:i/>
          <w:iCs/>
          <w:color w:val="000000"/>
        </w:rPr>
        <w:t xml:space="preserve">Rouxel v Royal Bank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Cananda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[1918] 2 WWR 791 cited in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Modern Banking Law </w:t>
      </w:r>
      <w:r>
        <w:rPr>
          <w:rFonts w:ascii="Times New Roman" w:hAnsi="Times New Roman" w:cs="Times New Roman"/>
          <w:color w:val="000000"/>
        </w:rPr>
        <w:t xml:space="preserve">by EP </w:t>
      </w:r>
      <w:proofErr w:type="spellStart"/>
      <w:r>
        <w:rPr>
          <w:rFonts w:ascii="Times New Roman" w:hAnsi="Times New Roman" w:cs="Times New Roman"/>
          <w:color w:val="000000"/>
        </w:rPr>
        <w:t>Ellinger</w:t>
      </w:r>
      <w:proofErr w:type="spellEnd"/>
      <w:r>
        <w:rPr>
          <w:rFonts w:ascii="Times New Roman" w:hAnsi="Times New Roman" w:cs="Times New Roman"/>
          <w:color w:val="000000"/>
        </w:rPr>
        <w:t xml:space="preserve"> and E </w:t>
      </w:r>
      <w:proofErr w:type="spellStart"/>
      <w:r>
        <w:rPr>
          <w:rFonts w:ascii="Times New Roman" w:hAnsi="Times New Roman" w:cs="Times New Roman"/>
          <w:color w:val="000000"/>
        </w:rPr>
        <w:t>Lomnicka</w:t>
      </w:r>
      <w:proofErr w:type="spellEnd"/>
      <w:r>
        <w:rPr>
          <w:rFonts w:ascii="Times New Roman" w:hAnsi="Times New Roman" w:cs="Times New Roman"/>
          <w:color w:val="000000"/>
        </w:rPr>
        <w:t xml:space="preserve">, Oxford (2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at 184).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two instances in which a bank is entitled to combine accounts or to set-off. First, where a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is unable or unwilling to repay an overdraft incurred in one account although another account is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credit. Secondly, where a customer draws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an amount exceeding the balance standing to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credit of the account involved but the deficiency can be of the funds deposited in another account.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Ellinger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Lomnicka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179.)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Combination of accounts, has three other exceptions: One, the right could be abrogated by a special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agreement. Two, the right is inapplicable where the property was remitted to the bank and appropriated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special purpose. Lastly, a customer’s account cannot be combined with a trust account or an account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be utilized by the customer as a trustee. (See </w:t>
      </w:r>
      <w:r>
        <w:rPr>
          <w:rFonts w:ascii="Times New Roman" w:hAnsi="Times New Roman" w:cs="Times New Roman"/>
          <w:i/>
          <w:iCs/>
          <w:color w:val="000000"/>
        </w:rPr>
        <w:t>Greenwood Teale v William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>Williams, Brown and Co</w:t>
      </w:r>
      <w:r w:rsidR="006D172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(1984) 11 TLR 56 cited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Ellinger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Lomnicka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185.)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already shown, both accounts 25/549 and 18-0009 belong to the Appellant and are in the same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branch of the Respondent bank. The accounts are neither for special purposes nor are they for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trusteeship. There is also no evidence that there is any agreement to prohibit them from being combined.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there is one question: could the Respondent bank have done that without notifying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Appellant?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two “apparently” conflicting decisions on the matter of notice to a customer. The Court of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Exchequer gave an equivocating answer in </w:t>
      </w:r>
      <w:r>
        <w:rPr>
          <w:rFonts w:ascii="Times New Roman" w:hAnsi="Times New Roman" w:cs="Times New Roman"/>
          <w:i/>
          <w:iCs/>
          <w:color w:val="000000"/>
        </w:rPr>
        <w:t xml:space="preserve">Garnett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M’Kewan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(1872) LR 8 Ex 10, where Kelly CB said,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13: “In general it might be proper or considerate to give a notice to that effect, but there is no legal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 on the bankers to do so, arising either from express contract or the course of dealing between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parties”.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in </w:t>
      </w:r>
      <w:r>
        <w:rPr>
          <w:rFonts w:ascii="Times New Roman" w:hAnsi="Times New Roman" w:cs="Times New Roman"/>
          <w:i/>
          <w:iCs/>
          <w:color w:val="000000"/>
        </w:rPr>
        <w:t xml:space="preserve">Buckingham Co v London and Midland Bank </w:t>
      </w:r>
      <w:r>
        <w:rPr>
          <w:rFonts w:ascii="Times New Roman" w:hAnsi="Times New Roman" w:cs="Times New Roman"/>
          <w:color w:val="000000"/>
        </w:rPr>
        <w:t>(1895) 12 TLR 70, Mathew J held that a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notice to a customer is essential.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 two decisions have been reconciled by pointing out that in Garnett there was no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between the bank and the customer to keep the two accounts separate. So, the bank could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exercise its right without notice. In </w:t>
      </w:r>
      <w:r>
        <w:rPr>
          <w:rFonts w:ascii="Times New Roman" w:hAnsi="Times New Roman" w:cs="Times New Roman"/>
          <w:i/>
          <w:iCs/>
          <w:color w:val="000000"/>
        </w:rPr>
        <w:t xml:space="preserve">Buckingham and Co </w:t>
      </w:r>
      <w:r>
        <w:rPr>
          <w:rFonts w:ascii="Times New Roman" w:hAnsi="Times New Roman" w:cs="Times New Roman"/>
          <w:color w:val="000000"/>
        </w:rPr>
        <w:t>however, that right was abrogated by an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based on a course of dealing and it could only be displaced by reasonable notice to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customer. But even in such cases, agreements to keep the two accounts separate can be abrogated by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 developments.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our considered opinion that where there is no agreement to keep more than one account separate,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there is no need to give notice before exercising the right to combine accounts. However, where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such agreement, then reasonable notice is required. But even in such situation, if the words of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indicate that the agreement would cease upon the occurring of an event, notice is equally not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required. Our opinion is supported by what Lord Cross of Chelsea, in his dissenting opinion, said in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of the </w:t>
      </w:r>
      <w:r>
        <w:rPr>
          <w:rFonts w:ascii="Times New Roman" w:hAnsi="Times New Roman" w:cs="Times New Roman"/>
          <w:i/>
          <w:iCs/>
          <w:color w:val="000000"/>
        </w:rPr>
        <w:t xml:space="preserve">House of Lords in National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Westminister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Halesowen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Presswork and</w:t>
      </w:r>
      <w:r w:rsidR="006D172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Assemblies Limited </w:t>
      </w:r>
      <w:r>
        <w:rPr>
          <w:rFonts w:ascii="Times New Roman" w:hAnsi="Times New Roman" w:cs="Times New Roman"/>
          <w:color w:val="000000"/>
        </w:rPr>
        <w:t>[1972] AC 785 at 810: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“On any footing the bank would be obliged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drawn to the limit of the apparent credit</w:t>
      </w:r>
      <w:r w:rsidR="006D1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balance before the company became aware that the bank was consolidating the accounts and so it might be</w:t>
      </w:r>
      <w:r w:rsidR="006D1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said that notification to the customer was not a condition precedent to the exercise by the bank of its right of</w:t>
      </w:r>
      <w:r w:rsidR="006D1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consolidation but only a measure of precaution which the bank might take to end its liability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</w:t>
      </w:r>
      <w:proofErr w:type="spellEnd"/>
      <w:r w:rsidR="006D1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6D1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But we would go further and say that where, as we have abundantly shown in this appeal, a customer is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 aware of his commitments to a bank but deliberately avoids meeting them, then the bank is entitled,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notice, to combine accounts even if there is an agreement not to do so.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So, the Respondent bank had the right to combine the two accounts and use the credit in account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25/549 to make due repayments of the loan in account 18–0009. Courts should not be used to assist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individuals who want to take undue advantage of the credit system.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avoidance of doubt we have to point out that in this appeal there was an agreement for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opening up a new account for repaying the loan. This could only mean that the parties intended to keep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three accounts separate. However, from what we have said above, the Respondent bank was entitled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combine the two accounts and deduct funds from account 25/549 to repay the loan on account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18–0009.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for lien, we can only say that it does not attach to the balance standing to the credit of the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customer’s account with his bank. The balance is part of the bank’s general funds and also a debt due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bank to the customer. This is because of the nature of the relationship between a banker and a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customer. The bank uses customer’s deposits as its own but undertakes to repay an amount equal to that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in, with or without interest either at call or at fixed time. Thus the role of the bank is that of a debtor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while that of the customer is of a creditor. (The roles </w:t>
      </w:r>
      <w:r>
        <w:rPr>
          <w:rFonts w:ascii="Times New Roman" w:hAnsi="Times New Roman" w:cs="Times New Roman"/>
          <w:color w:val="000000"/>
        </w:rPr>
        <w:lastRenderedPageBreak/>
        <w:t>are reversed where an account is overdrawn.) So,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balance is treated as if it were the property of the bank. Now, a person cannot have a lien over his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own property and especially when the property is also in his possession. (See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Ellinger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Lomnicka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107–111, 183 and 692.)</w:t>
      </w:r>
      <w:r w:rsidR="006D17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for the reasons given above, we dismiss the appeal with costs. It is so ordered.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 JA.)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0B3C0E" w:rsidRDefault="000B3C0E" w:rsidP="000B3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0B3C0E" w:rsidP="000B3C0E">
      <w:r>
        <w:rPr>
          <w:rFonts w:ascii="Times New Roman" w:hAnsi="Times New Roman" w:cs="Times New Roman"/>
          <w:i/>
          <w:iCs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0E"/>
    <w:rsid w:val="000B3C0E"/>
    <w:rsid w:val="00664035"/>
    <w:rsid w:val="006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DBA90-4608-4B80-890D-EF76B356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2018-07-05T12:38:00Z</dcterms:created>
  <dcterms:modified xsi:type="dcterms:W3CDTF">2018-07-13T17:14:00Z</dcterms:modified>
</cp:coreProperties>
</file>