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C62" w:rsidRDefault="00DA1C62" w:rsidP="00DA1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Noble Builders (U) Ltd and another v Sandhu</w:t>
      </w:r>
    </w:p>
    <w:p w:rsidR="00DA1C62" w:rsidRDefault="00DA1C62" w:rsidP="00DA1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DA1C62" w:rsidRDefault="00DA1C62" w:rsidP="00DA1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4 March 2004</w:t>
      </w:r>
    </w:p>
    <w:p w:rsidR="00DA1C62" w:rsidRDefault="00DA1C62" w:rsidP="00DA1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15/02</w:t>
      </w:r>
    </w:p>
    <w:p w:rsidR="00DA1C62" w:rsidRDefault="00DA1C62" w:rsidP="00DA1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15/02</w:t>
      </w:r>
    </w:p>
    <w:p w:rsidR="00DA1C62" w:rsidRDefault="00DA1C62" w:rsidP="00DA1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JSC</w:t>
      </w:r>
    </w:p>
    <w:p w:rsidR="00DA1C62" w:rsidRDefault="00DA1C62" w:rsidP="00DA1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A1C62" w:rsidRDefault="00DA1C62" w:rsidP="00DA1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DA1C62" w:rsidRDefault="00CE31FA" w:rsidP="00DA1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DA1C62">
        <w:rPr>
          <w:rFonts w:ascii="Times New Roman" w:hAnsi="Times New Roman" w:cs="Times New Roman"/>
          <w:i/>
          <w:iCs/>
          <w:color w:val="000000"/>
        </w:rPr>
        <w:t>[1] Costs – Security for costs – Supreme Court Rules – Rule 100(3) – Circumstances under which</w:t>
      </w:r>
    </w:p>
    <w:p w:rsidR="00DA1C62" w:rsidRDefault="00DA1C62" w:rsidP="00DA1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security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for costs may be ordered in appeal.</w:t>
      </w:r>
    </w:p>
    <w:p w:rsidR="00CE31FA" w:rsidRDefault="00DA1C62" w:rsidP="00CE31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  <w:r w:rsidR="00CE31FA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respondents petitioned to the High Court for orders to wind up the first applicant and declare the</w:t>
      </w:r>
      <w:r w:rsidR="00CE31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applicant a delinquent director and the orders sought were granted. The applicants successfully</w:t>
      </w:r>
      <w:r w:rsidR="00CE31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appealed to the Court of Appeal and the High Court decision was set aside with costs to the applicants.</w:t>
      </w:r>
      <w:r w:rsidR="00CE31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 appealed to the Supreme Court.</w:t>
      </w:r>
      <w:r w:rsidR="00CE31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Meanwhile the applicants filed bills of costs were assessed at total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34 164 400. The</w:t>
      </w:r>
      <w:r w:rsidR="00CE31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filed an application in the appeal to the Supreme Court contending that they would incur</w:t>
      </w:r>
      <w:r w:rsidR="00CE31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further costs if they won in the appeal and prayed for orders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that the respondent furnishes</w:t>
      </w:r>
      <w:r w:rsidR="00CE31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security for costs, past costs and costs of the pending appeal. The respondent lived in Canada and</w:t>
      </w:r>
      <w:r w:rsidR="00CE31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no assets or business interests in Uganda.</w:t>
      </w:r>
      <w:r w:rsidR="00CE31FA">
        <w:rPr>
          <w:rFonts w:ascii="Times New Roman" w:hAnsi="Times New Roman" w:cs="Times New Roman"/>
          <w:color w:val="000000"/>
        </w:rPr>
        <w:t xml:space="preserve"> </w:t>
      </w:r>
    </w:p>
    <w:p w:rsidR="00CE31FA" w:rsidRDefault="00CE31FA" w:rsidP="00CE31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DA1C62" w:rsidRDefault="00DA1C62" w:rsidP="00CE31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It is well settled that the burden lies on the applicant to show sufficient cause why the appellant</w:t>
      </w:r>
      <w:r w:rsidR="00CE31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furnish further security for costs over and above the amount fixed by the rules. What amounts to</w:t>
      </w:r>
      <w:r w:rsidR="00CE31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sufficient cause is a matter for the Court’s discretion, depending on the circumstances of the case before</w:t>
      </w:r>
      <w:r w:rsidR="00CE31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it.</w:t>
      </w:r>
      <w:r w:rsidR="00CE31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Demonstrable lack of reasonable chances of success for an appeal is sufficient cause. Inability to pay</w:t>
      </w:r>
      <w:r w:rsidR="00CE31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per se </w:t>
      </w:r>
      <w:r>
        <w:rPr>
          <w:rFonts w:ascii="Times New Roman" w:hAnsi="Times New Roman" w:cs="Times New Roman"/>
          <w:color w:val="000000"/>
        </w:rPr>
        <w:t xml:space="preserve">is not a ground for ordering security for costs; </w:t>
      </w:r>
      <w:r>
        <w:rPr>
          <w:rFonts w:ascii="Times New Roman" w:hAnsi="Times New Roman" w:cs="Times New Roman"/>
          <w:i/>
          <w:iCs/>
          <w:color w:val="000000"/>
        </w:rPr>
        <w:t xml:space="preserve">De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Fitzgerald and another </w:t>
      </w:r>
      <w:r>
        <w:rPr>
          <w:rFonts w:ascii="Times New Roman" w:hAnsi="Times New Roman" w:cs="Times New Roman"/>
          <w:color w:val="000000"/>
        </w:rPr>
        <w:t>[1990] 1 All ER</w:t>
      </w:r>
      <w:r w:rsidR="00CE31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560 distinguished. A defendant should be entitled to security if there is reason to believe that, in the</w:t>
      </w:r>
      <w:r w:rsidR="00CE31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event of his succeeding and being awarded costs, he will have real difficulty in enforcing the order.</w:t>
      </w:r>
      <w:r w:rsidR="00CE31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allowed. Further security for costs ordered.</w:t>
      </w:r>
    </w:p>
    <w:p w:rsidR="00DA1C62" w:rsidRDefault="00DA1C62" w:rsidP="00DA1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DA1C62" w:rsidRDefault="00DA1C62" w:rsidP="00DA1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DA1C62" w:rsidRDefault="00DA1C62" w:rsidP="00DA1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DA1C62" w:rsidRDefault="00DA1C62" w:rsidP="00DA1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DA1C62" w:rsidRDefault="00DA1C62" w:rsidP="00DA1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DA1C62" w:rsidRDefault="00DA1C62" w:rsidP="00DA1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Bank of Uganda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Nsereko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civil application number 7 of 2002 (SC)</w:t>
      </w:r>
    </w:p>
    <w:p w:rsidR="00DA1C62" w:rsidRDefault="00DA1C62" w:rsidP="00DA1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Patel v American International Banking Corporation </w:t>
      </w:r>
      <w:r>
        <w:rPr>
          <w:rFonts w:ascii="Times New Roman" w:hAnsi="Times New Roman" w:cs="Times New Roman"/>
          <w:color w:val="000000"/>
        </w:rPr>
        <w:t xml:space="preserve">civil application number 9 of 1989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DA1C62" w:rsidRDefault="00DA1C62" w:rsidP="00DA1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Uganda Commercial Bank v Multi Constructors Limited </w:t>
      </w:r>
      <w:r>
        <w:rPr>
          <w:rFonts w:ascii="Times New Roman" w:hAnsi="Times New Roman" w:cs="Times New Roman"/>
          <w:color w:val="000000"/>
        </w:rPr>
        <w:t xml:space="preserve">[1994] LLR 260 (SCU)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DA1C62" w:rsidRDefault="00DA1C62" w:rsidP="00DA1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DA1C62" w:rsidRDefault="00DA1C62" w:rsidP="00DA1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Fitzgerald and another </w:t>
      </w:r>
      <w:r>
        <w:rPr>
          <w:rFonts w:ascii="Times New Roman" w:hAnsi="Times New Roman" w:cs="Times New Roman"/>
          <w:color w:val="000000"/>
        </w:rPr>
        <w:t xml:space="preserve">[1990] 1 All ER 560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DA1C62" w:rsidRDefault="00DA1C62" w:rsidP="00DA1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Porzelack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KG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Porzelack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(UK) Limited </w:t>
      </w:r>
      <w:r>
        <w:rPr>
          <w:rFonts w:ascii="Times New Roman" w:hAnsi="Times New Roman" w:cs="Times New Roman"/>
          <w:color w:val="000000"/>
        </w:rPr>
        <w:t xml:space="preserve">[1987] 1 All ER 1074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21070D" w:rsidRDefault="0021070D" w:rsidP="00DA1C62">
      <w:bookmarkStart w:id="0" w:name="_GoBack"/>
      <w:bookmarkEnd w:id="0"/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62"/>
    <w:rsid w:val="0021070D"/>
    <w:rsid w:val="00CE31FA"/>
    <w:rsid w:val="00DA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8FE0F-6934-4509-AB17-9A276576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2018-07-04T12:51:00Z</dcterms:created>
  <dcterms:modified xsi:type="dcterms:W3CDTF">2018-07-13T17:14:00Z</dcterms:modified>
</cp:coreProperties>
</file>