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Noble Builders (U) Ltd and another v Sandhu</w:t>
      </w:r>
    </w:p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4 March 2004</w:t>
      </w:r>
    </w:p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15/02</w:t>
      </w:r>
    </w:p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15/02</w:t>
      </w:r>
    </w:p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</w:t>
      </w:r>
    </w:p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2D190E" w:rsidRDefault="00341C75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2D190E">
        <w:rPr>
          <w:rFonts w:ascii="Times New Roman" w:hAnsi="Times New Roman" w:cs="Times New Roman"/>
          <w:i/>
          <w:iCs/>
          <w:color w:val="000000"/>
        </w:rPr>
        <w:t>[1] Costs – Security for costs – Supreme Court Rules – Rule 100(3) – Circumstances under which</w:t>
      </w:r>
    </w:p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security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costs may be ordered in appeal.</w:t>
      </w:r>
    </w:p>
    <w:p w:rsidR="002D190E" w:rsidRDefault="00341C75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2D190E" w:rsidRDefault="002D190E" w:rsidP="00341C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MULENGA JSC: </w:t>
      </w:r>
      <w:r>
        <w:rPr>
          <w:rFonts w:ascii="Times New Roman" w:hAnsi="Times New Roman" w:cs="Times New Roman"/>
          <w:color w:val="000000"/>
        </w:rPr>
        <w:t>By notice of motion dated 26 September 2002, brought under rule 100(3) of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Rules of 1996, the above named applicants apply for orders that: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respondent furnishes further security for costs, past costs and costs of civil appeal number 41 of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2002 within a period determined by the Court, failing which the appeal be dismissed with costs.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Costs of and incidental to this application, be provided for.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is supported by the affidavit of </w:t>
      </w:r>
      <w:proofErr w:type="spellStart"/>
      <w:r>
        <w:rPr>
          <w:rFonts w:ascii="Times New Roman" w:hAnsi="Times New Roman" w:cs="Times New Roman"/>
          <w:color w:val="000000"/>
        </w:rPr>
        <w:t>Raghbir</w:t>
      </w:r>
      <w:proofErr w:type="spellEnd"/>
      <w:r>
        <w:rPr>
          <w:rFonts w:ascii="Times New Roman" w:hAnsi="Times New Roman" w:cs="Times New Roman"/>
          <w:color w:val="000000"/>
        </w:rPr>
        <w:t xml:space="preserve"> Singh Sandhu, the second applicant, sworn on 27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September 2002, and his several supplementary affidavits sworn on subsequent dates.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background to the application is very brief. On 19 September 2000, in Companies Cause Number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16 of 2000, the respondent petitioned the High Court for orders to wind up the first applicant and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declared the second applicant a delinquent director. The High Court entered judgment for the respondent,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granting the orders for which he had applied. The applicants successfully appealed to the Court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which on 20 May 2002, set aside the judgment of the High Court and awarded to the applicants,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of the appeal and of proceedings in the High Court. The respondent appealed to this Court in civil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number 13 of 2002, which has not yet come up for hearing.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meantime, the applicants filed bills of costs in the two lower courts. At the time of hearing this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the applicants’ bill of costs in the High Court had been taxed and allowed at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28 079 000; and on reference to a single Judge of the Court of Appeal, their costs in that court, had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reduced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6 085 400. The applicants contend that the total costs so far owing from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is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34 164 400, and that they will incur further costs in respect of the appeal pending in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Apart from asserting that the costs so far incurred in the lower courts are quite substantial,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base this application on the grounds that: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respondent is a foreigner currently resident in Canada, without any property or investments in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Uganda.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respondent’s appeal has no likelihood of success.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It is in the interest of justice, to order for further security for costs.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affidavit in reply, </w:t>
      </w:r>
      <w:proofErr w:type="spellStart"/>
      <w:r>
        <w:rPr>
          <w:rFonts w:ascii="Times New Roman" w:hAnsi="Times New Roman" w:cs="Times New Roman"/>
          <w:color w:val="000000"/>
        </w:rPr>
        <w:t>Jaspal</w:t>
      </w:r>
      <w:proofErr w:type="spellEnd"/>
      <w:r>
        <w:rPr>
          <w:rFonts w:ascii="Times New Roman" w:hAnsi="Times New Roman" w:cs="Times New Roman"/>
          <w:color w:val="000000"/>
        </w:rPr>
        <w:t xml:space="preserve"> Singh Sandhu, the respondent, avers that he has not refused or failed to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 the costs, and that there is no ground for suspecting that he will be unable to pay if he loses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appeal as he is not impecunious. He also avers that his appeal to this Court is not devoid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merit; and that the applicants have not shown special circumstances to justify the need for further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for costs.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hearing of the application,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color w:val="000000"/>
        </w:rPr>
        <w:t>, learned counsel for the applicants submitted that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for security for costs pending disposal of an appeal, is to ensure that a party who has been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 in the lower courts is not left without recourse for his costs, in the event of repeated success in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further appeal. He maintained that in the instant case the applicants had already incurred substantial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costs in the sum of over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34 million, which was likely to increase by about another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million,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respect of the pending appeal. Counsel argued that because the respondent does not reside, and has no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assets or investments, within the Court’s jurisdiction, the applicants would be left without recourse in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 of their likely success in the pending appeal</w:t>
      </w:r>
      <w:r w:rsidR="00341C75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learned counsel, the statutory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400 000 deposited in court as security for costs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utterly inadequate. He stressed that a successful party should not be left to the vagaries of having to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pursue costs through proceedings in foreign jurisdictions. He relied on the decision in </w:t>
      </w:r>
      <w:r>
        <w:rPr>
          <w:rFonts w:ascii="Times New Roman" w:hAnsi="Times New Roman" w:cs="Times New Roman"/>
          <w:i/>
          <w:iCs/>
          <w:color w:val="000000"/>
        </w:rPr>
        <w:t>Patel v American</w:t>
      </w:r>
      <w:r w:rsidR="00341C7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International Banking Corporation </w:t>
      </w:r>
      <w:r>
        <w:rPr>
          <w:rFonts w:ascii="Times New Roman" w:hAnsi="Times New Roman" w:cs="Times New Roman"/>
          <w:color w:val="000000"/>
        </w:rPr>
        <w:t>civil application number 9 of 1989. While conceding that security for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should not be used to stifle further appeals, he proposed that having regard to the circumstances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instant case,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50 million would be a reasonable amount for further security.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Mubiru-Kabege</w:t>
      </w:r>
      <w:proofErr w:type="spellEnd"/>
      <w:r>
        <w:rPr>
          <w:rFonts w:ascii="Times New Roman" w:hAnsi="Times New Roman" w:cs="Times New Roman"/>
          <w:color w:val="000000"/>
        </w:rPr>
        <w:t>, learned counsel for the respondent, submitted that the order for security for costs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discretionary, and the Courts use it sparingly. According to him, the order for security for costs is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appropriate only where </w:t>
      </w:r>
      <w:r>
        <w:rPr>
          <w:rFonts w:ascii="Times New Roman" w:hAnsi="Times New Roman" w:cs="Times New Roman"/>
          <w:color w:val="000000"/>
        </w:rPr>
        <w:lastRenderedPageBreak/>
        <w:t>there is evidence to show inability to pay. Non-payment of past costs, residence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outside of the Court’s jurisdiction and lack of assets or investments therein, are not evidence of inability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pay. He conceded that residence outside jurisdiction is a factor the Court may take into consideration,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argued that it is not sufficient ground alone. He pointed out that Canada is within the Commonwealth,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that, pursuant to the Judgment Extension Act (Chapter 12) and the Reciprocal Enforcement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Judgments Act (Chapter 21), if the applicants succeed in the pending appeal, they would not find it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 to recover their costs in Canada. Counsel also stressed that the Court should not allow an order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security for costs to have the effect of fettering the appeal process. He contended that in the instant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an order for further security for costs could drive the respondent from the seat of justice. 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though the respondent was able to pay, he would find it imprudent to tie so much money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court instead of putting it to profitable use. In support of his submissions, counsel cited </w:t>
      </w:r>
      <w:r>
        <w:rPr>
          <w:rFonts w:ascii="Times New Roman" w:hAnsi="Times New Roman" w:cs="Times New Roman"/>
          <w:i/>
          <w:iCs/>
          <w:color w:val="000000"/>
        </w:rPr>
        <w:t>Uganda</w:t>
      </w:r>
      <w:r w:rsidR="00341C7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Commercial Bank v Multi Constructors Limited </w:t>
      </w:r>
      <w:r>
        <w:rPr>
          <w:rFonts w:ascii="Times New Roman" w:hAnsi="Times New Roman" w:cs="Times New Roman"/>
          <w:color w:val="000000"/>
        </w:rPr>
        <w:t xml:space="preserve">[1994] LLR 260 (SCU); </w:t>
      </w:r>
      <w:r>
        <w:rPr>
          <w:rFonts w:ascii="Times New Roman" w:hAnsi="Times New Roman" w:cs="Times New Roman"/>
          <w:i/>
          <w:iCs/>
          <w:color w:val="000000"/>
        </w:rPr>
        <w:t xml:space="preserve">Bank of Uganda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Nsereko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341C7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</w:t>
      </w:r>
      <w:r>
        <w:rPr>
          <w:rFonts w:ascii="Times New Roman" w:hAnsi="Times New Roman" w:cs="Times New Roman"/>
          <w:color w:val="000000"/>
        </w:rPr>
        <w:t xml:space="preserve">civil application number 7 of 2002 (SC);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Porzelack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KG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Porzelack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(UK) Limited </w:t>
      </w:r>
      <w:r>
        <w:rPr>
          <w:rFonts w:ascii="Times New Roman" w:hAnsi="Times New Roman" w:cs="Times New Roman"/>
          <w:color w:val="000000"/>
        </w:rPr>
        <w:t>[1987] 1 All ER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1074 and </w:t>
      </w:r>
      <w:r>
        <w:rPr>
          <w:rFonts w:ascii="Times New Roman" w:hAnsi="Times New Roman" w:cs="Times New Roman"/>
          <w:i/>
          <w:iCs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Fitzgerald and another </w:t>
      </w:r>
      <w:r>
        <w:rPr>
          <w:rFonts w:ascii="Times New Roman" w:hAnsi="Times New Roman" w:cs="Times New Roman"/>
          <w:color w:val="000000"/>
        </w:rPr>
        <w:t>[1990] 1 All ER 560.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100 of the Supreme Court Rules of 1996 provides as follows: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Subject to rule 108, there shall be lodged in Court on the institution of a civil appeal as security for the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costs of the appeal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400 000.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Where an appeal has been withdrawn the Court may direct the cross-appellant to lodge in the Court as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security for costs,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400 000 or less.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The Court may, at any time,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if the Court thinks fit</w:t>
      </w:r>
      <w:r>
        <w:rPr>
          <w:rFonts w:ascii="Times New Roman" w:hAnsi="Times New Roman" w:cs="Times New Roman"/>
          <w:color w:val="000000"/>
          <w:sz w:val="20"/>
          <w:szCs w:val="20"/>
        </w:rPr>
        <w:t>, direct that further security for costs be given and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direct that security be given for the payment of past costs relating to the matters in question in the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appeal”.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Under rule 108 the Court may, on application, exempt an appellant from depositing security for costs if it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satisfied that the appellant lacks the means to pay, and that the appeal has a reasonable possibility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deduce from these two rules that the general principle is that an appellant should provide security for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of the appeal, unless the Court exempts him due to inability. It is noteworthy that even a party who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files a cross-appeal with no obligation to deposit any security for costs, may subsequently be required to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so if the main appeal is withdrawn. In addition, the Court may direct the appellant, in appropriate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to increase the security for costs of the appeal; and/or to deposit security for past or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earlier costs. All this tends to portray security for costs in civil appeals as the norm rather than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exception. Nevertheless, it is well settled that the burden lies on the applicant to show sufficient cause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why the appellant should furnish further security for costs, and above the amount fixed by the rules. What amounts to sufficient cause, is a matter for the Court’s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discretion, depending on the circumstances of the case before it.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grounds of this application is that the respondent’s appeal has no reasonable chance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success. I am inclined to the view that demonstrable lack of reasonable chances of success for an appeal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sufficient cause for the Court to order an appellant to furnish, not only further security for costs of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but also security for past costs. In the instant case, however, the applicant’s contention that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has no reasonable chance of success is countered by the respondent’s contention that his appeal is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devoid of merit. Neither party has advanced its contention, by evidence or argument, beyond the mere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claim, albeit by affidavit, that it hopes to succeed. I cannot place reliance on either contention. Secondly,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although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Mubiru-Kabenge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to make his client’s ability to pay the costs an issue, the application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based on any allegation that the respondent is unable to pay. Perhaps what is nearer to the point is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willingness to pay the costs, since he has not paid the costs so far incurred. What is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more, I do not accept that inability to pay </w:t>
      </w:r>
      <w:r>
        <w:rPr>
          <w:rFonts w:ascii="Times New Roman" w:hAnsi="Times New Roman" w:cs="Times New Roman"/>
          <w:i/>
          <w:iCs/>
          <w:color w:val="000000"/>
        </w:rPr>
        <w:t xml:space="preserve">per se </w:t>
      </w:r>
      <w:r>
        <w:rPr>
          <w:rFonts w:ascii="Times New Roman" w:hAnsi="Times New Roman" w:cs="Times New Roman"/>
          <w:color w:val="000000"/>
        </w:rPr>
        <w:t>is the only ground for ordering security for costs. I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do not need to consider whether the respondent is able to pay the costs in the event of losing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appeal.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significant ground in support of the application is the assertion that the respondent is a foreigner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resides in Canada, and who has no property or investments in Uganda. The respondent does not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expressly admit or deny the assertion. He merely contends in paragraph 7 of his affidavit in reply, that,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“the assertion is not supported by any evidence and is no proof of inability to pay”. The second applicant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retorts in his supplementary affidavit of 14 November 2004: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“4. In reply to paragraph 7 of the respondent’s in reply. I personally know the respondent and he has lived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Canada with his family since the early 1990’s and I know of no assets that belong to him in Uganda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which execution can issue should we be successful in the appeal.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5. I verily believe that his lack of property in Uganda is the reason why he does not name any assets that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belong to him in his affidavit in reply”.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All this is affidavit evidence, which the respondent does not contradict. In my view, it is sufficient proof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respondent is a foreigner, who is ordinarily resident </w:t>
      </w:r>
      <w:r>
        <w:rPr>
          <w:rFonts w:ascii="Times New Roman" w:hAnsi="Times New Roman" w:cs="Times New Roman"/>
          <w:color w:val="000000"/>
        </w:rPr>
        <w:lastRenderedPageBreak/>
        <w:t>outside the Court’s jurisdiction, and who has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assets in this country. This factor is significant because it lends weight to the applicants’ fear that if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succeed in the pending appeal, they might not readily recover the costs awarded to them. In default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voluntary payment of the costs, neither the person nor the assets of the respondent would be available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the Court’s jurisdiction for attachment.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principal response is that in case of such default, the applicants would be able to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enforce the orders for costs through execution proceedings in a Canadian Court, by virtue of provisions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Judgments Extension Act (Chapter 12) and the Reciprocal Enforcement of Judgments Act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(Chapter 21). Chapter 12 makes provision for the execution, in Uganda through Uganda courts,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decrees and warrants issued by the Courts of Kenya Malawi and Tanzania. Chapter 21 makes similar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for judgments of superior courts in the United Kingdom and the Republic of Ireland. Each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Acts empowers the Minister, by statutory orders, to extend the application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to judgments of courts in any other commonwealth country. In the view of the respondent’s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counsel, a Uganda court order would be enforceable in Canada – a commonwealth country, without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difficulty. It is in this context, that learned counsel invited me to follow the two English decisions in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Porzelack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KG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Porzelack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(UK) Ltd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Fitzgerald and another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in each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defendant’s application for security for costs on the ground that the plaintiff was a foreigner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resident outside the Court’s jurisdiction, was rejected. In rejecting the application, the Court took into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the Civil Jurisdiction and Judgments Act 1982 of the UK, which gave effect to a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convention on enforcement of judgments within EEC countries. Under that convention, enforcement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judgments of courts of one EEC member country in other member countries is relatively easy.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not persuaded to follow those decisions for two reasons. First, the applications in those cases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rejected on basis of several considerations, which are not applicable to the instant case. In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Porzelack’s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the Court noted that under the convention the defendant was availed “substantial and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improved rights” to enforce an order for costs in West Germany and considered that to be “an important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not decisive” factor. One of the other factors it took into consideration was that if it ordered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security for costs on the scale requested, the plaintiff’s action would be stifled. In </w:t>
      </w:r>
      <w:r>
        <w:rPr>
          <w:rFonts w:ascii="Times New Roman" w:hAnsi="Times New Roman" w:cs="Times New Roman"/>
          <w:i/>
          <w:iCs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Bry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case,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of Appeal set aside an order for security for costs made by the lower court. It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Judge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first instance for failing to appreciate that by virtue of the said convention, enforcement of an English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within the EEC was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relatively cheap and effective. In addition to that, however, the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took into account the fact that the plaintiff had, within the Court’s jurisdiction, a considerable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fund, albeit of yet unascertained value, which could be used to satisfy any order for costs made against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him. The circumstances of the two cases are distinguishable.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second reason is that the respondent has not laid any foundation for his submission on this aspect.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it is not disputable that Canada is a commonwealth country, the respondent does not show, by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or otherwise, that the Minister ever extended application of either (Chapter 12) or (Chapter 21)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judgments of Canadian Courts. More importantly, the respondent does not show that judgments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Ugandan courts are enforceable in Canada without difficulty. It is noteworthy that before making a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order under Chapter 21, the Minister must be satisfied that the legislature of such other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commonwealth country has made reciprocal provisions. Unlike the Courts in the two English cases, I am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unable to say that enforcement of a Ugandan court order for costs in Canada, is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easy, let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alone cheap.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Bry’s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Lord Donaldson MR, referred to Order 23 of the English RSC, which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for security for costs, and at page 565 g-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, said that its rationale is that: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defendant should be entitled to security if there is reason to believe that, in the event of his succeeding and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being awarded costs of the action, he will have real difficulty in enforcing that order. If the difficulty would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arise from the impecuniosity of the plaintiff, the Court will of course have to take an account of the likelihood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his succeeding in his claim, for it would be a total denial of justice that poverty should bar him from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putting forward what is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a good claim. If, on the other hand, the problem is not that the plaintiff is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impecunious but that, by reason of the way in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which he orders his affairs, including where he chooses to live and where he chooses to keep his assets, an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for costs against him is likely to be unenforceable, or enforceable only by a significant expenditure of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and money, the defendant should be entitled to security”.</w:t>
      </w:r>
      <w:r w:rsidR="00341C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my view, that </w:t>
      </w:r>
      <w:proofErr w:type="spellStart"/>
      <w:r>
        <w:rPr>
          <w:rFonts w:ascii="Times New Roman" w:hAnsi="Times New Roman" w:cs="Times New Roman"/>
          <w:color w:val="000000"/>
        </w:rPr>
        <w:t>rationalisation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is equally applicable to rule 100 of the rules of this Court. And I am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constrained to add that having regard to what I said earlier in this ruling about security for costs in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appeals, the Court should even more readily grant such security in an appeal where the respondent has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incurred substantial costs, which remain unpaid.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instant case, the problem that the applicants </w:t>
      </w:r>
      <w:r>
        <w:rPr>
          <w:rFonts w:ascii="Times New Roman" w:hAnsi="Times New Roman" w:cs="Times New Roman"/>
          <w:color w:val="000000"/>
        </w:rPr>
        <w:lastRenderedPageBreak/>
        <w:t>anticipate or fear is because the respondent chooses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live in Canada and to have no assets in Uganda. His attitude, as disclosed by his counsel, that he would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rather put his money or more profitable use than to secure payment of costs in a litigation he initiated,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bound to exacerbate the applicants’ fear, is also a matter of choice. In the circumstances, I think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is a fit case where the applicants should be accorded further security. I therefore allow their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 I direct that the respondent gives further security for costs of the appeal and for payment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past costs, by depositing in the Court, within thirty days from the date of this ruling, the sum of</w:t>
      </w:r>
      <w:r w:rsidR="00341C7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40 000 000. I also order that the applicants shall have the costs of this application.</w:t>
      </w:r>
    </w:p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applicants:</w:t>
      </w:r>
    </w:p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</w:p>
    <w:p w:rsidR="002D190E" w:rsidRDefault="002D190E" w:rsidP="002D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2D190E" w:rsidP="002D190E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Mubiru-Kabege</w:t>
      </w:r>
      <w:proofErr w:type="spellEnd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0E"/>
    <w:rsid w:val="0021070D"/>
    <w:rsid w:val="002D190E"/>
    <w:rsid w:val="0034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021A9-696F-48B4-9EAD-7BACB878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2018-07-04T12:52:00Z</dcterms:created>
  <dcterms:modified xsi:type="dcterms:W3CDTF">2018-07-13T17:16:00Z</dcterms:modified>
</cp:coreProperties>
</file>