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Nsubuga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Mutawe</w:t>
      </w:r>
      <w:proofErr w:type="spellEnd"/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October 1974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25/1974 (5/75)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>, C.J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Injunction – Interlocutory – Ex parte – Leave to dispense with service on defendant must be asked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for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and obtained – Defendant must be served with plaint, summons and affidavits – Civil Procedure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Rules, O. </w:t>
      </w:r>
      <w:r>
        <w:rPr>
          <w:rFonts w:ascii="Times New Roman" w:hAnsi="Times New Roman" w:cs="Times New Roman"/>
          <w:color w:val="000000"/>
        </w:rPr>
        <w:t>37</w:t>
      </w:r>
      <w:r>
        <w:rPr>
          <w:rFonts w:ascii="Times New Roman" w:hAnsi="Times New Roman" w:cs="Times New Roman"/>
          <w:i/>
          <w:iCs/>
          <w:color w:val="000000"/>
        </w:rPr>
        <w:t xml:space="preserve">, r. </w:t>
      </w:r>
      <w:r>
        <w:rPr>
          <w:rFonts w:ascii="Times New Roman" w:hAnsi="Times New Roman" w:cs="Times New Roman"/>
          <w:color w:val="000000"/>
        </w:rPr>
        <w:t>3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Injunction – Interlocutory – Probability of success and irreparable loss must be shown.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Landlord and tenant – Landlord’s title – Tenant may not challenge at date of tenancy but may show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has determined.</w:t>
      </w:r>
    </w:p>
    <w:p w:rsidR="00841D8E" w:rsidRDefault="00F90ECB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90ECB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F90ECB" w:rsidRDefault="00F90ECB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90ECB" w:rsidRDefault="00841D8E" w:rsidP="00F90E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The respondent (whom I will call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plaintiff) had filed an action in the High Court of Uganda against the appellants (whom I will call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defendant Nelson and the second defendant Diamond Trust Ltd.). The first defendant is an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auctioneer and the second defendant a limited liability company. The second defendant was and still is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registered proprietor of premises known as Diamond Trust Building. The plaintiff had occupied a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shop in the said premises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a tenant of the second defendant. The plaintiff had not paid rent due amounting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9,724/30 in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April 1973, despite demand, and the second defendant distrained for rent through the first defendant, and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locked up the shop occupied by the plaintiff with the plaintiff’s goods inside it. The plaintiff filed the suit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praying,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for a temporary injunction to restrain the defendants from detaining the said goods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for damages for trespass, wrongful eviction and </w:t>
      </w:r>
      <w:proofErr w:type="spellStart"/>
      <w:r>
        <w:rPr>
          <w:rFonts w:ascii="Times New Roman" w:hAnsi="Times New Roman" w:cs="Times New Roman"/>
          <w:color w:val="000000"/>
        </w:rPr>
        <w:t>detinue</w:t>
      </w:r>
      <w:proofErr w:type="spellEnd"/>
      <w:r>
        <w:rPr>
          <w:rFonts w:ascii="Times New Roman" w:hAnsi="Times New Roman" w:cs="Times New Roman"/>
          <w:color w:val="000000"/>
        </w:rPr>
        <w:t>. The plaint was filed on 19 April 1973, and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same day, by chamber summons supported by affidavit, the plaintiff obtained from </w:t>
      </w:r>
      <w:proofErr w:type="spellStart"/>
      <w:r>
        <w:rPr>
          <w:rFonts w:ascii="Times New Roman" w:hAnsi="Times New Roman" w:cs="Times New Roman"/>
          <w:color w:val="000000"/>
        </w:rPr>
        <w:t>Manyido</w:t>
      </w:r>
      <w:proofErr w:type="spellEnd"/>
      <w:r>
        <w:rPr>
          <w:rFonts w:ascii="Times New Roman" w:hAnsi="Times New Roman" w:cs="Times New Roman"/>
          <w:color w:val="000000"/>
        </w:rPr>
        <w:t>, J. an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temporary injunction restraining the defendants from interfering with the plaintiff’s occupation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shop and the seizing of the goods. The plaintiff continued to remain in possession. On 2 May 1973,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defendants by notice of motion applied to the High Court to set aside the order of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>, J.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filed an affidavit in reply and the application came before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>, C.J. After hearing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, C.J. upheld the order of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>, J., but varied it to require the plaintiff to deposit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amount of arrears of rent, namely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9,724/30, in court until the determination of the suit.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have now appealed to this Court.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will only refer very briefly to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application before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>, J.I do not see any reason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why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application was made. The defendants distrained for rent on 17 April 1973, and gave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14 days to pay the arrears of rent and charges. On 19 April the plaintiff sought an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F90EC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temporary injunction. No reason was given why notice was not served on the defendants. There was no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formal or otherwise, for service on the defendants to be dispensed with. Nor was there any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in the chamber summons for directions as to service or for its dispensation. The only reason urged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>, J. by the plaintiff for the grant of the order was that he was a tailor and had to deliver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clothes to his customers. There was not the slightest attempt to comply with the provisions of O. 37, r. 3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Civil Procedure Rules,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Noormohamed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(1953), 20 E.A.C.A. 8. I may state that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provisions of the Kenya O. 39, r. 1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Noormohamed’s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are identical to those in O. 37, r. 3. Again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defendants alleged that they were served only with the restrictive order of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>, J. on 20 April,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a copy of the plaint, chamber summons or supporting affidavit. The whole procedure was highly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irregular. Even on the merits I doubt if the scanty facts placed before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>, J. were sufficient for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granting of the application.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when the matter came before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>, C.J., both the parties had ample opportunity to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 their facts and arguments before the Court. The brief facts were these. The second defendant had,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5 April 1973, demanded payment of rent from the plaintiff. On 10 April the plaintiff, through his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advocate, forwarded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, post-dated to 17 </w:t>
      </w:r>
      <w:r>
        <w:rPr>
          <w:rFonts w:ascii="Times New Roman" w:hAnsi="Times New Roman" w:cs="Times New Roman"/>
          <w:color w:val="000000"/>
        </w:rPr>
        <w:lastRenderedPageBreak/>
        <w:t>April, for the sum due to the second defendant.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defendant accepted the arrangement. On 16 April the plaintiff informed the second defendant that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had instructed his bank to stop payment of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. On 17 April the defendants distrained for rent,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plaintiff obtained a temporary injunction on 19 April from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>, J.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matter coming up before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>, C.J. on a notice of motion filed by the defendants for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setting aside of the order of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 xml:space="preserve">, J., the plaintiff, in his affidavit filed in reply, stated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it came to my notice that the second defendant was owned by departed non-citizen Asians and that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consequently by operation of law the said premises were no longer vested in it and I decided to withdraw the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payment of rent I had made until the position was clarified.”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ruling the Chief Justice stated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 w:rsidR="00F90ECB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The question is whether the applicant is the owner of or has a claim in the property in question so as to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entitled to the rent . . . S. 1 (1) of the Rent Decree 1973 (Decree 5/73) reads as follows: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‘(1) Notwithstanding any provision in any lease, sublease or tenancy agreement, every property belonging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 departed Asian shall vest in the Government for the same estate, interest, right, obligations and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liabilities as the same were previously vested in the departed Asian.’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S. 2 of the same decree provides: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‘(2) Subject to the provisions of section 4 of this Decree, every person who is allocated by Government any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dwelling house or business premises or part thereof which is vested in the Government by or under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1 of this Decree, shall pay to the Minister such rent as may be fixed from time to time by the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Minister.’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circumstances of this case it would appear that there is a triable issue regarding who owns the premises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question and the person or authority to whom or which the rent is payable . . . The answer will depend on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 is entitled to the rent which is the subject matter.”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I have stated earlier the second defendant is a limited liability company. There was no evidence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adduced at all as to who or what the shareholders of the second defendant were. No register of shares was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produced and no official from the Registrar of Companies department was called, and in such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I fail to see how it could be said that the second defendant “was owned by departed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non-citizen Asians”.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will now deal with the term “departed </w:t>
      </w:r>
      <w:proofErr w:type="gramStart"/>
      <w:r>
        <w:rPr>
          <w:rFonts w:ascii="Times New Roman" w:hAnsi="Times New Roman" w:cs="Times New Roman"/>
          <w:color w:val="000000"/>
        </w:rPr>
        <w:t>non-citizen</w:t>
      </w:r>
      <w:proofErr w:type="gramEnd"/>
      <w:r>
        <w:rPr>
          <w:rFonts w:ascii="Times New Roman" w:hAnsi="Times New Roman" w:cs="Times New Roman"/>
          <w:color w:val="000000"/>
        </w:rPr>
        <w:t xml:space="preserve"> Asian”. Decree No. 17 of 1972 is </w:t>
      </w:r>
      <w:proofErr w:type="spellStart"/>
      <w:r>
        <w:rPr>
          <w:rFonts w:ascii="Times New Roman" w:hAnsi="Times New Roman" w:cs="Times New Roman"/>
          <w:color w:val="000000"/>
        </w:rPr>
        <w:t>intituled</w:t>
      </w:r>
      <w:proofErr w:type="spellEnd"/>
      <w:r>
        <w:rPr>
          <w:rFonts w:ascii="Times New Roman" w:hAnsi="Times New Roman" w:cs="Times New Roman"/>
          <w:color w:val="000000"/>
        </w:rPr>
        <w:t xml:space="preserve"> “A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to cancel Entry Permits and Certificates of Residence held by certain persons in Uganda and for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purposes connected therewith”. S. 1 of this Decree reads: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Notwithstanding any provision of the Immigration Act, 1969, to the contrary, but subject to the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section 2 of this Decree, on or after the commencement of this Decree, every entry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permit or certificate of residence issued or granted under the provisions of the Immigration Act, 1969,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any person who is of Asian origin, extraction or descent and who is a subject or citizen of any of the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countries specified in the Schedule to this Decree shall cease to have any validity whatsoever.”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schedule named India, Bangladesh, Pakistan, U.K. and Northern Ireland.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Decree 27 of 1972 was </w:t>
      </w:r>
      <w:proofErr w:type="spellStart"/>
      <w:r>
        <w:rPr>
          <w:rFonts w:ascii="Times New Roman" w:hAnsi="Times New Roman" w:cs="Times New Roman"/>
          <w:color w:val="000000"/>
        </w:rPr>
        <w:t>intituled</w:t>
      </w:r>
      <w:proofErr w:type="spellEnd"/>
      <w:r>
        <w:rPr>
          <w:rFonts w:ascii="Times New Roman" w:hAnsi="Times New Roman" w:cs="Times New Roman"/>
          <w:color w:val="000000"/>
        </w:rPr>
        <w:t xml:space="preserve"> “A Decree to make provision for the Declaration of Assets by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Non-Citizen Asians leaving Uganda and for other purposes connected therewith”.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 of this Decree reads: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No person leaving Uganda by virtue of the provisions of the Immigration (Cancellation of Entry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Permits and Certificate of Residence) Decree 1972 (in this Decree referred to as the departing Asian)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ransfer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immovable property. . .”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terms of the two Decrees a “departed non-citizen Asian” therefore is one who is a citizen of certain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specified countries and who is of Asian origin, extraction or descent and whose permit or certificate of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residence was annulled by Decree No. 17 of 1972 and who has left Uganda. Decree No. 30 of 1972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amended Decree No. 17 of 1972, and included persons of Indian, Pakistani or Bangladesh origin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regardless of citizenship.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No. 5 of 1973, referred to by the Chief Justice was to make provision for the vesting of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abandoned property belonging to departed Asians in the Government. S. 11 of this decree defined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“departed Asian” as “Non-Citizen Asian and Uganda Citizen Asian whose property is abandoned”.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No. 5 of 1973 was repealed and replaced by Decree 27 of 1973 and s. 1 of Decree No. 27 of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1973 reads in part: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“1.(1) No person who has to leave Uganda as a result of the Immigration (Cancellation of Entry Permits and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Certificates of Residence) Decree, in this Decree referred to as the ‘departing Asian’, may after the 6th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day of October, 1972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w here such person owns a company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. . .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(iii)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ppoint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new directors . . .”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I have said earlier no evidence was adduced at all as to who were the “owners” or more accurately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shareholders of the second defendant, or whether some or all of them were “departed Asians”, or if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in question was abandoned. It may well be that some shareholders were Africans, or Europeans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Asians who have not departed. I do not know if there is any definition of an “Asian owned” limited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company; none was submitted by counsel either in the court below or before us. There seems to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some sort of definition of an “African owned” company in the Interpretation (Special Provisions) Act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(Cap. 17). S. 2 reads: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“2. In any Act of Parliament or Ordinance enacted before the 19th July, 1963, unless it is expressly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otherwise or the context otherwise requires, references to a native or to an African shall be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construed as references to a person who is a member of an indigenous African tribe or community or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a body corporate or unincorporated entirely composed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of such persons, and references to a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non-native or to a non-African shall be construed accordingly.”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do not understand the reference to “enacted before the 19th July, 1963”, but it seems that “African” can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perhaps be applied to a corporate body if the members are “entirely” Africans. By parity of reasoning,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perhaps, a body corporate may be termed “Asian” if the members are entirely composed of “Asians”,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assuming that a notional legal entity like a limited liability company can be racially classified.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As, however, no evidence was adduced, I think that the plaintiff’s bare allegation that the second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was “owned by departed non-citizen Asians” might well be unfounded and could not be acted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upon. With respect I think that the Chief Justice erred in assuming, without any evidence before him, that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Decree No. 5 of 1973 applied to the second defendant. The onus was on the plaintiff to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 that the second defendant was owned by “departed Asians” within the meaning ascribed to this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 in Decree No. 5 of 1973, but no attempt was made to discharge it. The refusal of the Chief Justice to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aside the temporary injunction was based on an unwarranted assumption unsupported by an iota of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and on this ground alone I think we should allow the appeal and set aside the temporary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granted to the plaintiff.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propose to deal in any detail with the other grounds of appeal in the circumstances. I will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 refer to a few matters argued in the appeal. Mr.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plaintiff has submitted that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defendant was owned by “departed Asians” because of what the manager of the second defendant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stated in his affidavit, namely: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the applicant/defendant company was on 22 February 1973 allocated as a going concern to the Muslim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Supreme Council.”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the second defendant had admitted that it was owned by departed Asians, as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allocated to the Supreme Muslim Council. I find no such admission. What the manager stated was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of the purported allocation, not that the allocation was rightly made in the context of the relevant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Decrees. If Mr.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was to rely on the affidavit of the manager, then the plaintiff ought to have paid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rent to the second defendant, as the second defendant was acting as the agent of the Muslim Supreme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Council. Mr.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has submitted that his client was not sure to whom to pay rent, the Supreme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Muslim Council or the Government. I do not see how the plaintiff could have been in doubt. If the second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was owned by departed Asians and its assets allocated to the Supreme Muslim Council, then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had to pay rent to the Supreme Muslim Council through the second defendant, as only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allocate has to pay rent to the Minister for allocated property, see s. 2 of Decree No. 5 of 1973. It is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perhaps doubtful if the plaintiff withheld his rent because he was not sure who was entitled to receive it.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10 April 1973 he had forwarded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rent to the second defendant, post-dated to 17 April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1973. On 16 April, a day before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due to be paid, he stopped payment. In his affidavit 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“it came to my notice that the second defendant was owned by departed non-citizen Asians . . .</w:t>
      </w:r>
      <w:proofErr w:type="gramStart"/>
      <w:r>
        <w:rPr>
          <w:rFonts w:ascii="Times New Roman" w:hAnsi="Times New Roman" w:cs="Times New Roman"/>
          <w:color w:val="000000"/>
        </w:rPr>
        <w:t>”.</w:t>
      </w:r>
      <w:proofErr w:type="gramEnd"/>
      <w:r>
        <w:rPr>
          <w:rFonts w:ascii="Times New Roman" w:hAnsi="Times New Roman" w:cs="Times New Roman"/>
          <w:color w:val="000000"/>
        </w:rPr>
        <w:t xml:space="preserve"> It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remarkable that he did not say when this came to his notice. The Muslim Supreme Council was alleged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been allocated the second defendant as a going concern on 2 February 1973. It would be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stretching credulity too far to suggest that the plaintiff came to know of this on 16 April, a day before his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post-dated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rent was due to be paid.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conditions for the grant of an interlocutory injunction, I think they are now well settled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East Africa. I would refer to a decision of this Court,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</w:rPr>
        <w:t>[</w:t>
      </w:r>
      <w:proofErr w:type="gramEnd"/>
      <w:r>
        <w:rPr>
          <w:rFonts w:ascii="Times New Roman" w:hAnsi="Times New Roman" w:cs="Times New Roman"/>
          <w:color w:val="000000"/>
        </w:rPr>
        <w:t>1973] E.A. 358, an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emanating from the Uganda High Court. Briefly two of the main ones are (1) the applicant must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he has a probability of success and (2) that unless the injunction is granted the applicant would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 irreparable damage which would not be adequately compensated for by an award of damages. As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regards the first point, that of probability of success, the plaintiff had not, on the evidence adduced,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shown how he could succeed, let alone probably succeed. As regards the second point it is difficult to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imagine how a tailor like the plaintiff could have suffered irreparable loss by a delay in handing over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clothes to his customers, which could not have been compensated adequately by an award of damages.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interim injunction should have been granted in this case as neither of these two conditions had been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 held that the provisions of O. 37, r. 1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are to be interpreted and applied in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 isolation, without reference to other rules or laws.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O. 37, r. 1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reads: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Where in any suit it is proved by affidavit or otherwise–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property in dispute in a suit is in danger of being wasted, damaged or alienated by any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party to the suit, or wrongfully sold in execution of a decree;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may by order grant a temporary injunction to restrain such act, or make such other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for the purpose of staying or preventing the wasting, damaging, alienation, sale, removal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disposition of the property as the Court thinks fit until the disposal of the suit or until further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orders”.</w:t>
      </w:r>
      <w:r w:rsidR="00F9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great respect I think that the Chief Justice </w:t>
      </w:r>
      <w:r>
        <w:rPr>
          <w:rFonts w:ascii="Times New Roman" w:hAnsi="Times New Roman" w:cs="Times New Roman"/>
          <w:color w:val="000000"/>
        </w:rPr>
        <w:lastRenderedPageBreak/>
        <w:t>erred in so holding. The grant of a temporary injunction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terms of O. 37, r. 1, in so far as notice to the opposing party is concerned, is controlled by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provisions of r. 3,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Noormohamed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Madhani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and is subject to certain conditions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being fulfilled,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</w:rPr>
        <w:t xml:space="preserve">E.A. Industries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Trufoods</w:t>
      </w:r>
      <w:proofErr w:type="spellEnd"/>
      <w:r>
        <w:rPr>
          <w:rFonts w:ascii="Times New Roman" w:hAnsi="Times New Roman" w:cs="Times New Roman"/>
          <w:color w:val="000000"/>
        </w:rPr>
        <w:t>, [1972] E.A. 420.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allow the appeal and set aside the temporary injunction granted to the respondent, originally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 xml:space="preserve">, J. and subsequently varied by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>, C.J. I would award the costs of the appeal to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appellants. I would set aside the orders for costs in the High Court and substitute there for an order for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in favour of the appellants in the High Court.</w:t>
      </w:r>
      <w:r w:rsidR="00F90ECB">
        <w:rPr>
          <w:rFonts w:ascii="Times New Roman" w:hAnsi="Times New Roman" w:cs="Times New Roman"/>
          <w:color w:val="000000"/>
        </w:rPr>
        <w:t xml:space="preserve"> </w:t>
      </w:r>
    </w:p>
    <w:p w:rsidR="00F90ECB" w:rsidRDefault="00F90ECB" w:rsidP="00F90E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90ECB" w:rsidRDefault="00841D8E" w:rsidP="00F90E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Spry, Ag P: </w:t>
      </w:r>
      <w:r>
        <w:rPr>
          <w:rFonts w:ascii="Times New Roman" w:hAnsi="Times New Roman" w:cs="Times New Roman"/>
          <w:color w:val="000000"/>
        </w:rPr>
        <w:t>I have had the advantage of reading the judgment of Mustafa, J.A. I am in agreement with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it, and there is only one comment I would add.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Mpanga</w:t>
      </w:r>
      <w:proofErr w:type="spellEnd"/>
      <w:r>
        <w:rPr>
          <w:rFonts w:ascii="Times New Roman" w:hAnsi="Times New Roman" w:cs="Times New Roman"/>
          <w:color w:val="000000"/>
        </w:rPr>
        <w:t>, for the appellants, argued strongly that a tenant is not entitled to challenge the title of his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landlord. With respect, that is not the law. A tenant may not, during the continuance of the tenancy, deny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landlord had title at the beginning of the tenancy. That is set out in s. 114 of the Evidence Act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(Cap. 43), which was derived from s. 116 of the Indian Evidence Act 1872, which was itself a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codification of the common law. There is, however, no estoppel precluding a tenant from showing that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landlord’s title has been determined, whether by act inter </w:t>
      </w:r>
      <w:proofErr w:type="spellStart"/>
      <w:r>
        <w:rPr>
          <w:rFonts w:ascii="Times New Roman" w:hAnsi="Times New Roman" w:cs="Times New Roman"/>
          <w:color w:val="000000"/>
        </w:rPr>
        <w:t>partes</w:t>
      </w:r>
      <w:proofErr w:type="spellEnd"/>
      <w:r>
        <w:rPr>
          <w:rFonts w:ascii="Times New Roman" w:hAnsi="Times New Roman" w:cs="Times New Roman"/>
          <w:color w:val="000000"/>
        </w:rPr>
        <w:t xml:space="preserve"> or by operation of law (per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Cockburn, C.J., obiter, in </w:t>
      </w:r>
      <w:r>
        <w:rPr>
          <w:rFonts w:ascii="Times New Roman" w:hAnsi="Times New Roman" w:cs="Times New Roman"/>
          <w:i/>
          <w:iCs/>
          <w:color w:val="000000"/>
        </w:rPr>
        <w:t xml:space="preserve">Delaney v. Fox </w:t>
      </w:r>
      <w:r>
        <w:rPr>
          <w:rFonts w:ascii="Times New Roman" w:hAnsi="Times New Roman" w:cs="Times New Roman"/>
          <w:color w:val="000000"/>
        </w:rPr>
        <w:t>(1857), 140 E.R. 618). When the present suit comes to trial, it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be open to the respondent to adduce evidence to prove that the title of the second appellant has been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determined by operation of law. I agree with Mustafa, J.A., that on the application for an injunction, the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adduced no evidence to show any probability of success on this issue.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J.A., also agrees that the appeal should be allowed, there will be an order in the terms</w:t>
      </w:r>
      <w:r w:rsidR="00F9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proposed by Mustafa, J.A.</w:t>
      </w:r>
      <w:r w:rsidR="00F90ECB">
        <w:rPr>
          <w:rFonts w:ascii="Times New Roman" w:hAnsi="Times New Roman" w:cs="Times New Roman"/>
          <w:color w:val="000000"/>
        </w:rPr>
        <w:t xml:space="preserve"> </w:t>
      </w:r>
    </w:p>
    <w:p w:rsidR="00F90ECB" w:rsidRDefault="00F90ECB" w:rsidP="00F90E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41D8E" w:rsidRDefault="00841D8E" w:rsidP="00F90E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I have had the advantage of reading the judgment in draft of Mustafa, J.A. and I agree with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it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Mpanga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Mpanga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Mugerwa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p w:rsidR="00841D8E" w:rsidRDefault="00841D8E" w:rsidP="00841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43AAB" w:rsidRDefault="00841D8E" w:rsidP="00841D8E">
      <w:r>
        <w:rPr>
          <w:rFonts w:ascii="Times New Roman" w:hAnsi="Times New Roman" w:cs="Times New Roman"/>
          <w:i/>
          <w:iCs/>
          <w:color w:val="000000"/>
        </w:rPr>
        <w:t xml:space="preserve">JN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Ibingira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8E"/>
    <w:rsid w:val="00841D8E"/>
    <w:rsid w:val="00E43AAB"/>
    <w:rsid w:val="00F9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25695-FE87-4311-A0A7-50485EB2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2672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2018-07-06T12:37:00Z</dcterms:created>
  <dcterms:modified xsi:type="dcterms:W3CDTF">2018-07-13T17:19:00Z</dcterms:modified>
</cp:coreProperties>
</file>