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Ntabgoba v Editor-in-Chief the Newvision Newspaper and another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March 2004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113/03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Tinyinondi J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Tort – Libel – Defamatory matter – Meaning of defamation – Elements of libel –Whether Plaintiff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had suffered any damages – Compensatory damages, including aggravated element, and exemplary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 – Measure of damages.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Libel – Defence of fair comment – Distinction between statement of fact and comment.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Words and phrases – “Defamatory matter” – Perception of the ordinary man.</w:t>
      </w:r>
    </w:p>
    <w:p w:rsidR="00B56EA5" w:rsidRDefault="002A1D39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A1D39" w:rsidRDefault="00B56EA5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TINYINONDI J: </w:t>
      </w:r>
      <w:r>
        <w:rPr>
          <w:rFonts w:ascii="Times New Roman" w:hAnsi="Times New Roman" w:cs="Times New Roman"/>
          <w:color w:val="000000"/>
        </w:rPr>
        <w:t xml:space="preserve">I propose to set down the pleadings </w:t>
      </w:r>
      <w:r>
        <w:rPr>
          <w:rFonts w:ascii="Times New Roman" w:hAnsi="Times New Roman" w:cs="Times New Roman"/>
          <w:i/>
          <w:iCs/>
          <w:color w:val="000000"/>
        </w:rPr>
        <w:t>extenso</w:t>
      </w:r>
      <w:r>
        <w:rPr>
          <w:rFonts w:ascii="Times New Roman" w:hAnsi="Times New Roman" w:cs="Times New Roman"/>
          <w:color w:val="000000"/>
        </w:rPr>
        <w:t>. On 28 February 2003 the plaintiff filed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plaint in this Court. It reads: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A1D39" w:rsidRDefault="00B56EA5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plaintiff is a made adult of sound mind, a judge of 25 years standing and for the last 15 years 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the principal Judge in charge of the High Court and. He is ranked third in the hierarchy of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Courts of judicature. He is the Courts below. His duties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inter alia </w:t>
      </w:r>
      <w:r>
        <w:rPr>
          <w:rFonts w:ascii="Times New Roman" w:hAnsi="Times New Roman" w:cs="Times New Roman"/>
          <w:color w:val="000000"/>
          <w:sz w:val="20"/>
          <w:szCs w:val="20"/>
        </w:rPr>
        <w:t>are to ensure that there is no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 in the judiciary resident in Kampala and his address of service for purposes of this suit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C/o Babigumira and Co Advocates, ground floor, total house plot 29/33, Jinja road.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defendant is the Editor-in-Chief of the new vision newspaper and the second defendant is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printing and publishing corporation of the same newspaper which is widely read in Uganda and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world at large. The plaintiff’s advocates undertake to effect service of court process upon all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defendants.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he plaintiff’s claim against the defendants jointly and/or severally is for libel, for reckless, falsely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maliciously printing and/or publishing and/or causing to be published and concerning the plaintiff, an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in the New Vision newspaper.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he facts constituting the plaintiff’s cause of action are as follows: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 n the New Vision newspaper volume 17 number 304 of 21 December 2002 on page 9, under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heading “corruption alive and well in judiciary”, the second defendant published a libellous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story against the intended plaintiff.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 he story stated,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President Yoweri Museveni has time and again criticised the judiciary for corruption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Judges have been quick to deny it.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Those of us in practice can tell you that if you apply for bail today in the High Court,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 will be extremely lucky to get a hearing date within a fortnight.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iii) On November 4, Dr William Ngwanwa and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Lule </w:t>
      </w:r>
      <w:r>
        <w:rPr>
          <w:rFonts w:ascii="Times New Roman" w:hAnsi="Times New Roman" w:cs="Times New Roman"/>
          <w:color w:val="000000"/>
          <w:sz w:val="20"/>
          <w:szCs w:val="20"/>
        </w:rPr>
        <w:t>were charged at Buganda Road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for abuse of office and cause financial loss to the National Drug Authority.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Because the Chief Magistrate has no powers to grant bail in the two charges, both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were remanded.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(v) Dr Nganwa is said to be 65 years old while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Lule </w:t>
      </w:r>
      <w:r>
        <w:rPr>
          <w:rFonts w:ascii="Times New Roman" w:hAnsi="Times New Roman" w:cs="Times New Roman"/>
          <w:color w:val="000000"/>
          <w:sz w:val="20"/>
          <w:szCs w:val="20"/>
        </w:rPr>
        <w:t>is 51 according to the charge sheet.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(vi) Under the law, both would qualify for release on bail on account of their age. However,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surprise of many, on 6 December, Dr Nganwa was produced before the principal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Judge, Herbert Ntabgoba and granted bail. But his application was not on the cause list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that week. Advocates are always told that once a case does not appear on the cause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list then nothing can be done for a client.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(vii) It is also worth noting that there were many earlier applications filed before the principal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 and which had been allocated dates beyond 5 November because his diary was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crowded. So, how did Dr Nganwa’s application that was filed on the same day 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appeared for plea before the Magistrate, get a hearing date on the third day?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viii) What is even more intriguing is that Dr Nganwa’s co-accused, Dr Lule, had his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fixed for hearing two weeks later! What is the yardstick?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(ix) Did Nganwa get favourable treatment because of legal reasons a young lawyer like me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understand? We have now heard rumours that there is a judge of the Supreme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who offered to make ‘things easier’ for Nganwa. Dr Nganwa is now back in his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 working as if nothing ever happened!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(x) Corruption in high places can only be inferred from the action of those in the chair.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no corruption in the High Court amongst some Judges?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photocopy of the said article is hereby annexed and marked ‘A’.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T he said words were and are in their natural and ordinary meaning highly defamatory of the plaintiff.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6. A lternatively but without prejudice to the foregoing, by the said words, the defendants jointly and/or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severally meant and/or were understood to mean that the plaintiff: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 s a corrupt judicial officer/Judge.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 bused his office.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 ommitted the offence of corruption and/or abuse of office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W as not fit to hold the office he then held.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N ot fit to be a judge let alone a principal Judge.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7. T he article is outrageous, malicious and defamatory because of the following: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The intended defendants knew very well or ought to have known that the above very serious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allegations were being made against a judicial officer who is the third ranking in the judiciary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hierarchy, yet they were comfortable to publish the article whose author withheld his/her name.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The editor made special emphasis that the letter demands special attention.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iii) The photograph of the Honourable Chief Justice CJB Odoki was introduced in the middle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article to attract wild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attention.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The intended defendants did not bother to cross-check the allegations for if they had done, they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have discovered the following: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 he policy of the intended plaintiff in handling cases which affect human rights (for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example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Habeas Corpus </w:t>
      </w:r>
      <w:r>
        <w:rPr>
          <w:rFonts w:ascii="Times New Roman" w:hAnsi="Times New Roman" w:cs="Times New Roman"/>
          <w:color w:val="000000"/>
          <w:sz w:val="20"/>
          <w:szCs w:val="20"/>
        </w:rPr>
        <w:t>or bail application) is not to put them in the queue.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 hat Dr Nganwa’s application is number 82 of 2002 filed on 19 November 2002 and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main ground for his application was advance age.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 hat Dr Lule’s application was not filed until 20 November 2002 and his only ground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for the application was grave illness.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 hat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Lule </w:t>
      </w:r>
      <w:r>
        <w:rPr>
          <w:rFonts w:ascii="Times New Roman" w:hAnsi="Times New Roman" w:cs="Times New Roman"/>
          <w:color w:val="000000"/>
          <w:sz w:val="20"/>
          <w:szCs w:val="20"/>
        </w:rPr>
        <w:t>needed a medical report from Luzira where he was detained which was not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received until 21 November 2002 and was not forwarded to Court until 27 November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2002.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 hat the hearing notice for hearing the application was issued on 2 December 2002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application was heard and he was granted bail on 4 December 2002.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That when Dr Nganwa’s application was heard, there was no other bail application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before the principal Judge.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T hat the two applications having been filed separately, on different dates and on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grounds, they could not be heard together.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8. B y the publication of the said words, the defendant jointly and/or severally intended to and did, for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financial gain, jointly and/or severally greatly injure the credibility and reputation of the plaintiff by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lowering him in the eyes of right-thinking members of the judiciary, international legal organisations,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society generally, causing him to be brought into public scandal, hatred, ridicule and contempt,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thereby suffering loss and damage for which the defendants are liable.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9. S tatutory notice to intended defendants was served on the defendants but no apology has been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published. (A copy of the affidavit of service is hereto attached and marked annexure ‘B’).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10. T he cause of action arose at Kampala within the jurisdiction of this Honourable Court”.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13 March 2003 the defendants filed a joint written statement of defence which read: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Save as herein admitted the defendants deny each and every allegation and claim in the plaint in total.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defendants admit paragraph 2 save for the wide circulation, and paragraph 9 of the plaint and add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their address for purposes of this suit shall be C/o Messrs Dodere and Nalyanya advocates, third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floor Impala house, 13/15 Kimathi avenue, PO Box 22490, Kampala.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deny paragraphs 1, 3, 5, 6 and 7 and shall put the plaintiff to strict proof thereof, in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 that it is not true: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president has not time and again criticised the judiciary for corruption;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hearing dates for bail are within a fortnight of filling;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are no earlier applications before the Court heard after Dr Nganwa’s.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shall also at the trial contend that the publication appeared as a letter of a concerned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 citizen and therefore merely an opinion of a subscriber.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shall also contend that the plaintiff is a public officer, holding a public constitutional,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 and is not above public comment.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shall also aver that the publication was substantially true in exposing the delays in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administration of justice in general for which there is a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well-known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outcry, and as such is a fair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7. I n the alternative, but without prejudice to the foregoing the defendants shall aver the letter was a fair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comment in the interest of the public.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deny the insinuations alleged in paragraph 7 of the plaint and shall put the plaintiff to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strict proof thereof.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defendants deny the injury allegedly suffered and shall contend that the plaintiff is not liable for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act done in the discharge of his official duties as a judicial officer, and as such could not have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suffered the injury alleged.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10.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jurisdiction of the High Court of which the plaintiff is himself the direct head is not admitted, in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light of the plaintiff’s position in the High Court, and the defendant shall seek for arbitration”.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held a scheduling conference in accordance with Order XB of the Civil Procedure (amendment)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1998. Accordingly: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agreed facts were: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defendants published the article complained of;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status of the plaintiff.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following documents were admitted: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“New Vision” Issue </w:t>
      </w:r>
      <w:r>
        <w:rPr>
          <w:rFonts w:ascii="Times New Roman" w:hAnsi="Times New Roman" w:cs="Times New Roman"/>
          <w:color w:val="000000"/>
          <w:sz w:val="20"/>
          <w:szCs w:val="20"/>
        </w:rPr>
        <w:t>Volume 17, number 304 dated 21 December 2002.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files of Dr Ngawa and Dr Lule.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cause list of 16-20 November 2002 as Exhibit “D1”.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“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Judiciary Today</w:t>
      </w:r>
      <w:r>
        <w:rPr>
          <w:rFonts w:ascii="Times New Roman" w:hAnsi="Times New Roman" w:cs="Times New Roman"/>
          <w:color w:val="000000"/>
          <w:sz w:val="20"/>
          <w:szCs w:val="20"/>
        </w:rPr>
        <w:t>” newsletter article in: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issue number 8 of October 2002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issue number 9 of November 2002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iii) issue number 1 of January 2003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Collectively as Exhibit “D2”.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the following issues were agreed and framed.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W hether the publication was defamatory of the plaintiff;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W hether the publication was a true and fair comment;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W hether the plaintiff suffered any injury;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W hat remedies would the successful party be entitled to.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PW1, Jeremiah Herbet Ntabgoba, testified as hereafter. He was the principal Judge of the High Court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Uganda, having held that position for the last 15 years. Since 14 June 1978 he had been a </w:t>
      </w:r>
      <w:r>
        <w:rPr>
          <w:rFonts w:ascii="Times New Roman" w:hAnsi="Times New Roman" w:cs="Times New Roman"/>
          <w:i/>
          <w:iCs/>
          <w:color w:val="000000"/>
        </w:rPr>
        <w:t xml:space="preserve">puisne </w:t>
      </w:r>
      <w:r>
        <w:rPr>
          <w:rFonts w:ascii="Times New Roman" w:hAnsi="Times New Roman" w:cs="Times New Roman"/>
          <w:color w:val="000000"/>
        </w:rPr>
        <w:t>judge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 In his capacity of Principal Judge the plaintiff headed the High Court, assisted the Chief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in the administration of the High Court and all the Courts below. This was in accordance with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141 of the Constitution. His duties as the Judge of the High Court entailed allocation of duties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Judges and assigning Judges to outpost stations. He also heard cases like any other Judges.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further testified as follows. He was in the habit of reading newspapers and download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 on the internet. He had read the “New Vision” of 21 December 2002 and the article therein where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editor of the paper demanded special attention to be given to that article. The article “Corruption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alive and well in the Judiciary”. In the midst of the article a photograph of the Chief Justice, in his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professional wig, was posed. The article alleged that two doctors applied for release on bail and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“Sir - I am an advocate working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 some small chambers in Kampala. President Yoweri Museveni has time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again criticised the Judiciary for corruption and the Judges have been quick to deny it.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of us in practice can tell you that if you apply for bail today in the High Court, you will be extremely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lucky to get a hearing date within a fortnight. On 4 November Dr William Nganwa and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Lule </w:t>
      </w:r>
      <w:r>
        <w:rPr>
          <w:rFonts w:ascii="Times New Roman" w:hAnsi="Times New Roman" w:cs="Times New Roman"/>
          <w:color w:val="000000"/>
          <w:sz w:val="20"/>
          <w:szCs w:val="20"/>
        </w:rPr>
        <w:t>were charged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Buganda Road Court for abuse of office and causing financial loss to the National Drug Authority. Because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Chief Magistrate has no powers to grant bail in the two charges, both accused were remanded. Dr Nganwa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said to be 65 years old while Dr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Lule </w:t>
      </w:r>
      <w:r>
        <w:rPr>
          <w:rFonts w:ascii="Times New Roman" w:hAnsi="Times New Roman" w:cs="Times New Roman"/>
          <w:color w:val="000000"/>
          <w:sz w:val="20"/>
          <w:szCs w:val="20"/>
        </w:rPr>
        <w:t>is 51 according to the charge sheet.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law, both would qualify for release on bail on account of their age. However, to the surprise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many, on 6 December, Dr Nganwa was produced before the principal Judge, Herbert Ntabgoba and granted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bail. But his application was not on the cause list for that week! Advocates are always told that once a cause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not appear on the cause list the nothing can be done for a client. It is also worth noting that there were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many earlier applications filed before the principal Judge and which had been allocated dates beyond 5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November because his diary was crowded. So, how did Dr Nganwa’s application that was filed on the same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 he appeared for plea before the Magistrate, get a hearing date on the third day?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even more intriguing is that Dr Nganwa’s co-accused, Dr Lule, had his application fixed for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hearing two weeks later! What is the yardstick? Did Nganwa get favourable treatment because of legal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reasons a young lawyer like me cannot understand? We have now heard rumours that there is a judge of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Supreme Court who offered to make “things easier” for Nganwa. Dr Nganwa is now back in his office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working as if nothing ever happened!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 in high places can only be inferred from the action of those in the chair. Is there no corruption in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 amongst some Judges Justice Benjamin Odoki, the Chief Justice should look into such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practices”.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further testified that these allegations insinuated that he was corrupt since the heading was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“corruption alive and well in the Judiciary”.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last sentence of the article paused the question: “Is there no corruption in the High Court amongst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Judges?”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testified that the paper circulates all over Uganda and is also posted on the internet. That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married man with children; three of them in USA who telephoned him asking him what they read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about. Many of his friends including Judges in Kampala contacted him about the article.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plaintiff’s lawyers contacted the defendants, the latter’s cynical reply was that they would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 the Chief Justice as their witness. The plaintiff contacted the Chief Justice as his boss to find out if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would testify against him when he had not contacted him before about the allegations.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PW1 further testified about his official policy regarding the hearing of cases. With regard to human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cases (</w:t>
      </w:r>
      <w:r>
        <w:rPr>
          <w:rFonts w:ascii="Times New Roman" w:hAnsi="Times New Roman" w:cs="Times New Roman"/>
          <w:i/>
          <w:iCs/>
          <w:color w:val="000000"/>
        </w:rPr>
        <w:t xml:space="preserve">habeas corpus </w:t>
      </w:r>
      <w:r>
        <w:rPr>
          <w:rFonts w:ascii="Times New Roman" w:hAnsi="Times New Roman" w:cs="Times New Roman"/>
          <w:color w:val="000000"/>
        </w:rPr>
        <w:t>and bail applications) he did not put these in the queue that is according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of filling. Provided both sides are ready for the hearing, he would hear them. He heard these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mainly in the afternoons after he had dealt with other types of cases. As a person administering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justice, he believed that if a person applies for release on bail that person is anxious to get out of prison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to know his fate if the application is rejected. So it would be unjust to keep that person in suspense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there be no time to hear the case.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further testified that he did not favour Dr Nganwa. In fact his case was heard before Dr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applied for a date. He did not hear Dr Nganwa’s case on 6 December 2002 as claimed in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offending article. He heard it earlier, on 20 November 2002. No one prevailed over him to hear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 Nganwa’s application. When Dr Nganwa’s lawyers asked for a hearing date the plaintiff told them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handling another case. When the case did not continue the plaintiff informed the staff in the criminal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 that he was in a position to hear Dr Nganwa’s case. He in fact did so that afternoon. 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21 November 2002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applied to have his case heard. Thus the two applications were different. Dr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Lule’s staggered because he was yet to obtain a medical certificate. The plaintiff could not therefore be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to have acted to the prejudice of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 xml:space="preserve">because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could not ask for a hearing date when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ready with a medical certificate. When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obtained the certificate, the plaintiff who was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in Kisoro, was contacted on telephone by this clerk. The plaintiff replied that he would return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Kampala on Monday. He would hear a </w:t>
      </w:r>
      <w:r>
        <w:rPr>
          <w:rFonts w:ascii="Times New Roman" w:hAnsi="Times New Roman" w:cs="Times New Roman"/>
          <w:i/>
          <w:iCs/>
          <w:color w:val="000000"/>
        </w:rPr>
        <w:t xml:space="preserve">habeas corpus </w:t>
      </w:r>
      <w:r>
        <w:rPr>
          <w:rFonts w:ascii="Times New Roman" w:hAnsi="Times New Roman" w:cs="Times New Roman"/>
          <w:color w:val="000000"/>
        </w:rPr>
        <w:t>case on Tuesday and hear Dr Lule’s application 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Wednesday. That is what actually transpired.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also testified that the publication had adverse effect on him personally. After reading it,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an agonising and sleepless weekend because all along he thought he would be the last person to be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of corruption given that one of his duties was to fight corruption on which subject he had written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extensively and addressed both the Judges and Magistrates. He felt dejected because: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So many people read the article;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His CV, which is on the Internet, was gravely damaged;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No one came out to retract the defamatory article or offer an apology.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at the dusk of his life someone was damaging his whole life which caused the plaintiff the greatest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worry. He would be retiring in 2004 after serving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government in key positions of Administrator General and Registrar General without being </w:t>
      </w:r>
      <w:r>
        <w:rPr>
          <w:rFonts w:ascii="Times New Roman" w:hAnsi="Times New Roman" w:cs="Times New Roman"/>
          <w:color w:val="000000"/>
        </w:rPr>
        <w:lastRenderedPageBreak/>
        <w:t>accused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his prayers in the plaint, the plaintiff testified that the most important was contained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9(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). Prayer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was necessary because the defamation was false, reckless and outrageous.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noticed also that the author’s name was withheld. That for any paper worth its salt once it received such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allegations it should have verified with him in which case he would have willingly given them the files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spoke for themselves. That instead, the defendants went ahead and recklessly published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falsehood and when the plaintiff’s lawyer contacted them they refused/neglected to apologise. Hence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in his paragraph 9(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was further aggravated in the written statement of defence.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cross-examination PW1 testified as follows. There could be corruption in the Judiciary as in any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government department. He had written extensively on the subject and also stated that there were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delays both on the bench and at the bar. The delays on the bench were many and due to lack of Judges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other factors. As a result there was a huge amount of backlog. It was not Court practice to hear cases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not cause listed, save where the parties agreed. Other exceptions were where the case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involved human rights like bail applications and </w:t>
      </w:r>
      <w:r>
        <w:rPr>
          <w:rFonts w:ascii="Times New Roman" w:hAnsi="Times New Roman" w:cs="Times New Roman"/>
          <w:i/>
          <w:iCs/>
          <w:color w:val="000000"/>
        </w:rPr>
        <w:t xml:space="preserve">habeas corpus </w:t>
      </w:r>
      <w:r>
        <w:rPr>
          <w:rFonts w:ascii="Times New Roman" w:hAnsi="Times New Roman" w:cs="Times New Roman"/>
          <w:color w:val="000000"/>
        </w:rPr>
        <w:t>applications; provided, always, that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parties agreed to the hearing. In the case of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there was no delay because he relied on grave illness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his only ground but had to await a medical certificate from Luzira Prison and thereafter apply for a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date. When he obtained one he applied for a date which coincided with the hearing of </w:t>
      </w:r>
      <w:r>
        <w:rPr>
          <w:rFonts w:ascii="Times New Roman" w:hAnsi="Times New Roman" w:cs="Times New Roman"/>
          <w:i/>
          <w:iCs/>
          <w:color w:val="000000"/>
        </w:rPr>
        <w:t>habeas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corpus </w:t>
      </w:r>
      <w:r>
        <w:rPr>
          <w:rFonts w:ascii="Times New Roman" w:hAnsi="Times New Roman" w:cs="Times New Roman"/>
          <w:color w:val="000000"/>
        </w:rPr>
        <w:t>application. Dr Lule’s application was heard and a release on bail granted on the very day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fixed it. Thus there was no delay. These events were no record. It was a lie that both Dr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Nganwa’s and Dr Lule’s application were filed at the same time but that Dr Nganwa’s was heard first. Dr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Lule’s was filed after Dr Nganwa’s had been heard.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PW2, Edward Kangaho, testified as herebelow. He was a clerical officer in the Judiciary attached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principal Judge since 1998. He recollected bail applications by both Dr Nganwa and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which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were before the principal Judge in 2002. They were heard separately because they were filed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separate dates. Dr Nganwa’s was criminal miscellaneous application number 82 of 2002 filed on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 November 2002 while Dr Lule’s was criminal miscellaneous application number 83 of 2002 filed 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21 November 2002 – (Both files were recovered as Exhibits “P1”and “P2” respectively). The grounds for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 Nganwa’s application were mainly advanced age in which case he did not need to produce a medical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certificate in Court. Dr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required such a certificate from Luzira where he was detained. Dr Nganwa’s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heard on 20 November 2002 and he was released on the same day. The hearing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 Lule’s application was initially 2 December 2002; but on that day the trial Judge was not around. So it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fixed for hearing on 4 December 2002, when it was heard and allowed.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cross-examination PW2 testified that he had served in the Judiciary since 1996 and as PW1’s clerk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1998. PW1’s workload was heavy. PW1 was always in Court, save when on leave or he had no case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fixed for hearing before him. Matters of very urgent nature could be heard even when they were not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listed. Such matters included bail applications which affected human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rights. A bail application could be heard even one month after filing like where a medical report took as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 to obtain.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referred to Exhibit “P2”, PW2 testified that Dr Lule’s application was received in the High Court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20 November 2002. The medical report was received on 27 November 2002. The application was first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fixed for 2 December 2002 but adjourned to 4 December 2002 when it was heard and granted the same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referred to Exhibit “P1”, PW2 testified that Dr Nganwa’s application was filed on 19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2002 and heard on 20 November 2002. With this evidence the plaintiff rested his case.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offered not to call any evidence. Both counsel agreed on filing written submissions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they duly did according to their scheduled times.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address the first issue. I propose to split into two.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or not the publication was defamatory;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if it was, whether or not it was defamatory of the plaintiff.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 start with an important preface. Under our law and, I believe, in all civilised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jurisdictions, a man is entitled to his good name and to the esteem in which he is held by others. He also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 right to claim that his reputation shall not be disparaged by defamatory statements made about him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third person or persons without lawful justification. The other civilisations so found long ago. (See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Scott v Sampson </w:t>
      </w:r>
      <w:r>
        <w:rPr>
          <w:rFonts w:ascii="Times New Roman" w:hAnsi="Times New Roman" w:cs="Times New Roman"/>
          <w:color w:val="000000"/>
        </w:rPr>
        <w:t>[1882] 8 QBD 203).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a defamatory statement is made in writing or some permanent form the tort of libel is committed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law assumes damages. (See </w:t>
      </w:r>
      <w:r>
        <w:rPr>
          <w:rFonts w:ascii="Times New Roman" w:hAnsi="Times New Roman" w:cs="Times New Roman"/>
          <w:i/>
          <w:iCs/>
          <w:color w:val="000000"/>
        </w:rPr>
        <w:t xml:space="preserve">Ratcliffe v Evans </w:t>
      </w:r>
      <w:r>
        <w:rPr>
          <w:rFonts w:ascii="Times New Roman" w:hAnsi="Times New Roman" w:cs="Times New Roman"/>
          <w:color w:val="000000"/>
        </w:rPr>
        <w:t>[1892] 2 QB 524 at 528).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defamatory statement is one which tends to lower a person in the estimation of right thinking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society generally or to cause him to be shunned or avoided or to expose him to hatred,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contempt or ridicule or to convey an imputation on him, disparaging or injurious to him in his office,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profession, calling, trade </w:t>
      </w:r>
      <w:r>
        <w:rPr>
          <w:rFonts w:ascii="Times New Roman" w:hAnsi="Times New Roman" w:cs="Times New Roman"/>
          <w:color w:val="000000"/>
        </w:rPr>
        <w:lastRenderedPageBreak/>
        <w:t>or business. (See “</w:t>
      </w:r>
      <w:r>
        <w:rPr>
          <w:rFonts w:ascii="Times New Roman" w:hAnsi="Times New Roman" w:cs="Times New Roman"/>
          <w:i/>
          <w:iCs/>
          <w:color w:val="000000"/>
        </w:rPr>
        <w:t>Gatley on Libel and Slander</w:t>
      </w:r>
      <w:r>
        <w:rPr>
          <w:rFonts w:ascii="Times New Roman" w:hAnsi="Times New Roman" w:cs="Times New Roman"/>
          <w:color w:val="000000"/>
        </w:rPr>
        <w:t>” (8 ed) para 31).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is, however, a rider to the above statement.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Astaire v Campling </w:t>
      </w:r>
      <w:r>
        <w:rPr>
          <w:rFonts w:ascii="Times New Roman" w:hAnsi="Times New Roman" w:cs="Times New Roman"/>
          <w:color w:val="000000"/>
        </w:rPr>
        <w:t>[1966] 1 WLR 34 at 41, Diplock LJ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statement does not give rise to a cause of action against its publisher merely because it causes damage to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plaintiff.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statement must be false and it must be defamatory of the plaintiff, </w:t>
      </w:r>
      <w:r>
        <w:rPr>
          <w:rFonts w:ascii="Times New Roman" w:hAnsi="Times New Roman" w:cs="Times New Roman"/>
          <w:color w:val="000000"/>
          <w:sz w:val="20"/>
          <w:szCs w:val="20"/>
        </w:rPr>
        <w:t>that is to say,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 must itself contain, whether expressly or by implication, a statement of fact or expression of opinion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would lower the plaintiff in the estimation of a reasonable reader who had knowledge of such other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facts, not contained in the statement, as the reader might reasonably be expected to posses”. (emphasis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mine)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burden to prove that the words complained of are defamatory rest on the plaintiff. In paragraph 115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Gatley 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words complained of are defamatory in their natural and ordinary meaning the plaintiff need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prove nothing more than their publication. The onus will then lie on the defendants to prove from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in which the words were used, or from the manner of their publication or other fact known to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those to whom the words were published, that the words would not be understood by reasonable men to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convey the importation suggested by the mere consideration of the words themselves”.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in </w:t>
      </w:r>
      <w:r>
        <w:rPr>
          <w:rFonts w:ascii="Times New Roman" w:hAnsi="Times New Roman" w:cs="Times New Roman"/>
          <w:i/>
          <w:iCs/>
          <w:color w:val="000000"/>
        </w:rPr>
        <w:t xml:space="preserve">Newstead v London Express Newspaper Ltd </w:t>
      </w:r>
      <w:r>
        <w:rPr>
          <w:rFonts w:ascii="Times New Roman" w:hAnsi="Times New Roman" w:cs="Times New Roman"/>
          <w:color w:val="000000"/>
        </w:rPr>
        <w:t>[1940] 1 KB 377 it was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“Whether the plaintiff is referred to by name, or otherwise clearly identified, the words are actionable even if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were intended to refer to some other person”.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quickly dispose of this matter here and now. At the beginning of the hearing I conducted a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scheduling conference. The first of the agreed facts was that the defendants published the article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complained of. This fact is backed by the statement in paragraph 115 of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that the plaintiff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the burden on him. Moreover, after the plaintiff testified about the criminal proceedings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conducted, he went on to state: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“At the dusk of my life someone was damaging my whole life. I would be retiring in 2004 after serving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in the key positions of administrator general and Registrar general without being accused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would be at this point that the defendants would come in to discharge their burden of proving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“from the circumstances in which the words were used or from the manner of their publication the words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understood by reasonable men to convey the importation by the mere consideration of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words themselves” (see the </w:t>
      </w:r>
      <w:r>
        <w:rPr>
          <w:rFonts w:ascii="Times New Roman" w:hAnsi="Times New Roman" w:cs="Times New Roman"/>
          <w:i/>
          <w:iCs/>
          <w:color w:val="000000"/>
        </w:rPr>
        <w:t xml:space="preserve">Newstead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defendants cross-examined the plaintiff to some extent. The defendants did not call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evidence. After due consideration of the plaintiff’s evidence and the defendants’ default in calling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 find and hold that the defendants failed to discharge the burden that had shifted on to them.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go on to discuss the role of the Court in this type of case. In </w:t>
      </w:r>
      <w:r>
        <w:rPr>
          <w:rFonts w:ascii="Times New Roman" w:hAnsi="Times New Roman" w:cs="Times New Roman"/>
          <w:i/>
          <w:iCs/>
          <w:color w:val="000000"/>
        </w:rPr>
        <w:t xml:space="preserve">Morgan v Odhams Press </w:t>
      </w:r>
      <w:r>
        <w:rPr>
          <w:rFonts w:ascii="Times New Roman" w:hAnsi="Times New Roman" w:cs="Times New Roman"/>
          <w:color w:val="000000"/>
        </w:rPr>
        <w:t>[1970] 1 WLR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820 (CA) it was reiterated: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was well settled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question whether </w:t>
      </w:r>
      <w:r>
        <w:rPr>
          <w:rFonts w:ascii="Times New Roman" w:hAnsi="Times New Roman" w:cs="Times New Roman"/>
          <w:color w:val="000000"/>
          <w:sz w:val="20"/>
          <w:szCs w:val="20"/>
        </w:rPr>
        <w:t>the words complained of are capable of conveying a defamatory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meaning is a question of law and,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is therefore, one calling for the decision of the Court</w:t>
      </w:r>
      <w:r>
        <w:rPr>
          <w:rFonts w:ascii="Times New Roman" w:hAnsi="Times New Roman" w:cs="Times New Roman"/>
          <w:color w:val="000000"/>
          <w:sz w:val="20"/>
          <w:szCs w:val="20"/>
        </w:rPr>
        <w:t>”. (emphasis added)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Shah v Uganda Argus </w:t>
      </w:r>
      <w:r>
        <w:rPr>
          <w:rFonts w:ascii="Times New Roman" w:hAnsi="Times New Roman" w:cs="Times New Roman"/>
          <w:color w:val="000000"/>
        </w:rPr>
        <w:t>[1971] EA 362 at 365D, Youds J had the following to say: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course I am not bound to accept the evidence or opinions expressed by witnesses and must form my own</w:t>
      </w:r>
      <w:r w:rsidR="002A1D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opinion and make my own finding as to whether or not the newspaper article was defamatory of the plaintiff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having listened to the evidence and bearing in mind that I must consider the position of the reader of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(who might be reasonably excepted to possess knowledge that the plaintiff) I have come to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conclusion and so find that the newspaper article was defamatory of the plaintiff”. (emphasis is mine)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deciding whether or not the statement is defamatory, the Court must first consider what meaning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words would convey to the ordinary man (see </w:t>
      </w:r>
      <w:r>
        <w:rPr>
          <w:rFonts w:ascii="Times New Roman" w:hAnsi="Times New Roman" w:cs="Times New Roman"/>
          <w:i/>
          <w:iCs/>
          <w:color w:val="000000"/>
        </w:rPr>
        <w:t>Rubber Improvement Ltd v Daily Telegraph Ltd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Rubber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Improvement Ltd v Associated Newspaper Ltd </w:t>
      </w:r>
      <w:r>
        <w:rPr>
          <w:rFonts w:ascii="Times New Roman" w:hAnsi="Times New Roman" w:cs="Times New Roman"/>
          <w:color w:val="000000"/>
        </w:rPr>
        <w:t>[1964] AC 234 at 258). Having determined the meaning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test is whether, under the circumstances in which the words were published, a reasonable man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whom the publication was made would be likely to understand it in a defamatory sense. (See </w:t>
      </w:r>
      <w:r>
        <w:rPr>
          <w:rFonts w:ascii="Times New Roman" w:hAnsi="Times New Roman" w:cs="Times New Roman"/>
          <w:i/>
          <w:iCs/>
          <w:color w:val="000000"/>
        </w:rPr>
        <w:t>Capital and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Counties Bank Ltd v George Henry and Sons </w:t>
      </w:r>
      <w:r>
        <w:rPr>
          <w:rFonts w:ascii="Times New Roman" w:hAnsi="Times New Roman" w:cs="Times New Roman"/>
          <w:color w:val="000000"/>
        </w:rPr>
        <w:t>[1982] 7 AC 741 at 745).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approach was earlier stated in </w:t>
      </w:r>
      <w:r>
        <w:rPr>
          <w:rFonts w:ascii="Times New Roman" w:hAnsi="Times New Roman" w:cs="Times New Roman"/>
          <w:i/>
          <w:iCs/>
          <w:color w:val="000000"/>
        </w:rPr>
        <w:t xml:space="preserve">Tolley v JB Fry and sons Ltd </w:t>
      </w:r>
      <w:r>
        <w:rPr>
          <w:rFonts w:ascii="Times New Roman" w:hAnsi="Times New Roman" w:cs="Times New Roman"/>
          <w:color w:val="000000"/>
        </w:rPr>
        <w:t>[1930] 1 KB where Scutton J said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Judge has to decide whether the publication complained of is capable of being understood by reasonable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people as bearing the meaning alleged or a defamatory meaning. He is not to decide what its meaning is but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it is capable of bearing to reasonable people”.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Further, decided cases indicate that the meaning of words for the purpose of the law of defamatory is not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question of legal construction since laymen will read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words an implication more freely than a lawyer. The meaning is that which the words would convey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ordinary persons. The Court must not put a strained or unlikely construction upon words. (See </w:t>
      </w:r>
      <w:r>
        <w:rPr>
          <w:rFonts w:ascii="Times New Roman" w:hAnsi="Times New Roman" w:cs="Times New Roman"/>
          <w:i/>
          <w:iCs/>
          <w:color w:val="000000"/>
        </w:rPr>
        <w:t>Rubber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Improvement Ltd v Daily Telegraph Ltd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Rubber Improvement Ltd v Associated Newspapers Ltd </w:t>
      </w:r>
      <w:r>
        <w:rPr>
          <w:rFonts w:ascii="Times New Roman" w:hAnsi="Times New Roman" w:cs="Times New Roman"/>
          <w:color w:val="000000"/>
        </w:rPr>
        <w:t>[1964]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 234 at 258).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paragraph 58 of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defamatory to impute to a man in any office any corrupt, dishonest, or other misconduct and this is so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the office is public or private”.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hindsight of the above principles I now proceed to decide whether the article was defamatory. I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 that without “any strained or unlikely construction” the words in </w:t>
      </w:r>
      <w:r>
        <w:rPr>
          <w:rFonts w:ascii="Times New Roman" w:hAnsi="Times New Roman" w:cs="Times New Roman"/>
          <w:color w:val="000000"/>
        </w:rPr>
        <w:lastRenderedPageBreak/>
        <w:t>this were capable of bearing to an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reasonable person that the plaintiff acted corruptly when handling the applications of Doctors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Nganwa and </w:t>
      </w:r>
      <w:r>
        <w:rPr>
          <w:rFonts w:ascii="Times New Roman" w:hAnsi="Times New Roman" w:cs="Times New Roman"/>
          <w:i/>
          <w:iCs/>
          <w:color w:val="000000"/>
        </w:rPr>
        <w:t xml:space="preserve">Lule </w:t>
      </w:r>
      <w:r>
        <w:rPr>
          <w:rFonts w:ascii="Times New Roman" w:hAnsi="Times New Roman" w:cs="Times New Roman"/>
          <w:color w:val="000000"/>
        </w:rPr>
        <w:t>by favouring Dr Nganwa at the expense of Dr Lule. My answer to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first issue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is that the publication (Exhibit “P1”) was defamatory.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publication defamatory of the plaintiff? There is no gainsaying that the article mentioned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both by his office and his full names. There is thus no question or doubt about the identity of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 To the ordinary and reasonable person the article was capable of conveying the message that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corruptly conducted the application of Dr Nganwa favourably while sidelining Dr Lule’s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The article imputed to the plaintiff that, of all the Judges in the Uganda Judiciary,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Judge acted corruptly, dishonestly and disgracefully. My answer to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first issue is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article was defamatory of the plaintiff.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the second issue. To succeed in a defence of fair comment the defendant must show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are comment and not a statement of fact. He must show that there is a basis of fact for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 contained or referred to in the matter complained of. He must also show that the comment is 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matter of public interest, one which has expressly or implicitly put before the public for judgment or is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a matter with which the public has a legitimate interest. If, however, the plaintiff can show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comment was not made honestly or was actuated by malice, he will defeat the plea. (See </w:t>
      </w:r>
      <w:r>
        <w:rPr>
          <w:rFonts w:ascii="Times New Roman" w:hAnsi="Times New Roman" w:cs="Times New Roman"/>
          <w:i/>
          <w:iCs/>
          <w:color w:val="000000"/>
        </w:rPr>
        <w:t>Gatley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 xml:space="preserve">) paragraph 692 and </w:t>
      </w:r>
      <w:r>
        <w:rPr>
          <w:rFonts w:ascii="Times New Roman" w:hAnsi="Times New Roman" w:cs="Times New Roman"/>
          <w:i/>
          <w:iCs/>
          <w:color w:val="000000"/>
        </w:rPr>
        <w:t xml:space="preserve">Salmon and Heuston on the law of torts </w:t>
      </w:r>
      <w:r>
        <w:rPr>
          <w:rFonts w:ascii="Times New Roman" w:hAnsi="Times New Roman" w:cs="Times New Roman"/>
          <w:color w:val="000000"/>
        </w:rPr>
        <w:t>(21 ed) at 185).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Thus, in may considered view, the burden of proof starts in the defendants’ courtyard to prove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ingredients above cited.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publication was comment is a question of the Judge in our circumstances where the trial is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conducted without a jury. In </w:t>
      </w:r>
      <w:r>
        <w:rPr>
          <w:rFonts w:ascii="Times New Roman" w:hAnsi="Times New Roman" w:cs="Times New Roman"/>
          <w:i/>
          <w:iCs/>
          <w:color w:val="000000"/>
        </w:rPr>
        <w:t xml:space="preserve">Salmon and Heuston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at 181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essential to the plea of fair comment that the matter must appear on the face of it to be a comment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 statement of fact. The facts on which the comment is based must be stated or referred to and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imputation must appear as an expression of the defendant’s opinion on the facts.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It is a quest for the jury </w:t>
      </w:r>
      <w:r>
        <w:rPr>
          <w:rFonts w:ascii="Times New Roman" w:hAnsi="Times New Roman" w:cs="Times New Roman"/>
          <w:color w:val="000000"/>
          <w:sz w:val="20"/>
          <w:szCs w:val="20"/>
        </w:rPr>
        <w:t>(read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“Judge”) whether the words on their true construction in their context, amount to a positive statement of fact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an expression of opinion or an inference. If they are the former they must be justified. If the defendants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justify them, then the only issue for the jury (read “Judge”) is the amount of damages”.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Furthermore it is the law that the facts on which the comment is based must be true. If they do not exist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defence of fair comment must fail (see </w:t>
      </w:r>
      <w:r>
        <w:rPr>
          <w:rFonts w:ascii="Times New Roman" w:hAnsi="Times New Roman" w:cs="Times New Roman"/>
          <w:i/>
          <w:iCs/>
          <w:color w:val="000000"/>
        </w:rPr>
        <w:t>Lefroy v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Burnside </w:t>
      </w:r>
      <w:r>
        <w:rPr>
          <w:rFonts w:ascii="Times New Roman" w:hAnsi="Times New Roman" w:cs="Times New Roman"/>
          <w:color w:val="000000"/>
        </w:rPr>
        <w:t>(number 2) [1879] 4 LR TR 556 at 565 and 566). The comment must not misstate facts because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comment cannot be fair which is built on facts which ate not truly stated. (See </w:t>
      </w:r>
      <w:r>
        <w:rPr>
          <w:rFonts w:ascii="Times New Roman" w:hAnsi="Times New Roman" w:cs="Times New Roman"/>
          <w:i/>
          <w:iCs/>
          <w:color w:val="000000"/>
        </w:rPr>
        <w:t>Joynt v Cycle Trade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Company </w:t>
      </w:r>
      <w:r>
        <w:rPr>
          <w:rFonts w:ascii="Times New Roman" w:hAnsi="Times New Roman" w:cs="Times New Roman"/>
          <w:color w:val="000000"/>
        </w:rPr>
        <w:t>[1904] 2 KB 294).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before me the defendant refused/failed/neglected to call any evidence to prove his allegations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paragraphs 6 and 7 of the written statement of defence. Of course the plaintiff and PW2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and tendered Exhibit “P1” and “P2”. The plaintiff’s evidence stood unchallenged, even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cross-examination. It clearly showed that the publication was not based on any true facts. One of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blatant falsehoods in the article was that the plaintiff heard Dr Nganwa’s application on 6 December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 which in fact he heard on 20 November 2002. Even after the plaintiff gave evidence of this and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facts and was not contradicted, no attempt was made by the defendant to peruse the Court record,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salvage by amending the written statement of defence or call evidence in rebuttal.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cannot be gainsaid that Court proceedings are matters of public interest which a newspaper may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criticise; but if the comment is on facts which are inaccurately reported or do not exist cannot be fair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comment (see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 xml:space="preserve">) paragraph 718) and </w:t>
      </w:r>
      <w:r>
        <w:rPr>
          <w:rFonts w:ascii="Times New Roman" w:hAnsi="Times New Roman" w:cs="Times New Roman"/>
          <w:i/>
          <w:iCs/>
          <w:color w:val="000000"/>
        </w:rPr>
        <w:t xml:space="preserve">Hibbins v Lee </w:t>
      </w:r>
      <w:r>
        <w:rPr>
          <w:rFonts w:ascii="Times New Roman" w:hAnsi="Times New Roman" w:cs="Times New Roman"/>
          <w:color w:val="000000"/>
        </w:rPr>
        <w:t>[1864] 4F and F 243. In the absence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defence evidence but in the face of the plaintiff’s evidence, I find and hold that the defendant failed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that the publication was both comment and fair comment at that.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address the third issue. In cases of libel actionable “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>” the plaintiff need not prove actual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 for “the law presumes that some damage will flow in the ordinary course of things from the mere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invasion of his absolute right to reputation (see </w:t>
      </w:r>
      <w:r>
        <w:rPr>
          <w:rFonts w:ascii="Times New Roman" w:hAnsi="Times New Roman" w:cs="Times New Roman"/>
          <w:i/>
          <w:iCs/>
          <w:color w:val="000000"/>
        </w:rPr>
        <w:t xml:space="preserve">Ratcliffe v Evans </w:t>
      </w:r>
      <w:r>
        <w:rPr>
          <w:rFonts w:ascii="Times New Roman" w:hAnsi="Times New Roman" w:cs="Times New Roman"/>
          <w:color w:val="000000"/>
        </w:rPr>
        <w:t>[1892] 2 QB 528).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case is one where, in my considered view, the libel is actionable “</w:t>
      </w:r>
      <w:r>
        <w:rPr>
          <w:rFonts w:ascii="Times New Roman" w:hAnsi="Times New Roman" w:cs="Times New Roman"/>
          <w:i/>
          <w:iCs/>
          <w:color w:val="000000"/>
        </w:rPr>
        <w:t>per se</w:t>
      </w:r>
      <w:r>
        <w:rPr>
          <w:rFonts w:ascii="Times New Roman" w:hAnsi="Times New Roman" w:cs="Times New Roman"/>
          <w:color w:val="000000"/>
        </w:rPr>
        <w:t xml:space="preserve">”. I rely on </w:t>
      </w:r>
      <w:r>
        <w:rPr>
          <w:rFonts w:ascii="Times New Roman" w:hAnsi="Times New Roman" w:cs="Times New Roman"/>
          <w:i/>
          <w:iCs/>
          <w:color w:val="000000"/>
        </w:rPr>
        <w:t>Gatley</w:t>
      </w:r>
      <w:r w:rsidR="002A1D3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paragraph 143 where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plaintiff proves that a libel has been published of him, his cause of action is complete”.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discussion I have gone through hereinabove I repeat that I find and hold that the plaintiff had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proved, on a balance of probabilities, that he was defamed by the publication in question. Of course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testified, at great length, about the adverse and devastating effect the publication had on him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physically (sleepless nights pondering over the ruin the article had reigned on his long and impeccable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career as a public servant) and his achievements in the office. This, in my view, was to supply more meat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skeleton. I hold for the plaintiff on the third issue.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the remedies. In paragraph 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plaint the plaintiff prayed for general damages. </w:t>
      </w:r>
      <w:r>
        <w:rPr>
          <w:rFonts w:ascii="Times New Roman" w:hAnsi="Times New Roman" w:cs="Times New Roman"/>
          <w:color w:val="000000"/>
        </w:rPr>
        <w:lastRenderedPageBreak/>
        <w:t>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Walkin v Hall </w:t>
      </w:r>
      <w:r>
        <w:rPr>
          <w:rFonts w:ascii="Times New Roman" w:hAnsi="Times New Roman" w:cs="Times New Roman"/>
          <w:color w:val="000000"/>
        </w:rPr>
        <w:t>[1968] LR 3 QB at 399 Blackburn J said: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disparaging words are spoken of a person, and either actual injury has flowed from them or they were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spoken of him in the way of his trade, in contemplation of law, damage had accrued to the person defamed”.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principle governing the award as stated in </w:t>
      </w:r>
      <w:r>
        <w:rPr>
          <w:rFonts w:ascii="Times New Roman" w:hAnsi="Times New Roman" w:cs="Times New Roman"/>
          <w:i/>
          <w:iCs/>
          <w:color w:val="000000"/>
        </w:rPr>
        <w:t xml:space="preserve">John v MGN Ltd </w:t>
      </w:r>
      <w:r>
        <w:rPr>
          <w:rFonts w:ascii="Times New Roman" w:hAnsi="Times New Roman" w:cs="Times New Roman"/>
          <w:color w:val="000000"/>
        </w:rPr>
        <w:t>[1996] 2 All ER 35 at 47: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successful plaintiff in a defamation action is entitled to recover, as general compensation damages, such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sum as will compensate him for the wrong he has suffered.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That sum must compensate for the damages to his</w:t>
      </w:r>
      <w:r w:rsidR="002A1D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reputation; vindicate his good name; and take account of the distress, hurt and humiliation which the</w:t>
      </w:r>
      <w:r w:rsidR="002A1D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defamatory publication has caused</w:t>
      </w:r>
      <w:r>
        <w:rPr>
          <w:rFonts w:ascii="Times New Roman" w:hAnsi="Times New Roman" w:cs="Times New Roman"/>
          <w:color w:val="000000"/>
          <w:sz w:val="20"/>
          <w:szCs w:val="20"/>
        </w:rPr>
        <w:t>”. (emphasis is mine)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repeat the plaintiff’s evidence here. In his evidence-in-chief he said: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publication had adverse effect on me. I had an agonising and sleepless weekend because all along I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thought I would be the last person to be accused of corruption because one of my duties is to fight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corruption”.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are hurt feelings, in my view.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further evidence-in-chief the plaintiff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still feel dejected because: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So many people read the article.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Under the internet I have a CV which was gravely damaged by the article.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No-one has come out to apologise or retract the article.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the dusk of my life someone damaging my whole life that is my greatest worry”.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This, in my considered view, is clear evidence of injury both to feelings and reputation.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 this evidence was neither alluded to nor dented in any other manner, especially so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defendant did not call any evidence. I therefore hold that the plaintiff is entitled to his head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damages, to wit, compensatory general damages.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plaintiff prayed for general damages. Learned counsel for the plaintiff submitted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100 000 000 (one hundred million shillings only). He cited </w:t>
      </w:r>
      <w:r>
        <w:rPr>
          <w:rFonts w:ascii="Times New Roman" w:hAnsi="Times New Roman" w:cs="Times New Roman"/>
          <w:i/>
          <w:iCs/>
          <w:color w:val="000000"/>
        </w:rPr>
        <w:t xml:space="preserve">Biwot v Clays Ltd </w:t>
      </w:r>
      <w:r>
        <w:rPr>
          <w:rFonts w:ascii="Times New Roman" w:hAnsi="Times New Roman" w:cs="Times New Roman"/>
          <w:color w:val="000000"/>
        </w:rPr>
        <w:t>[2000] 2 EA 334 at 340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(HCKO) where the Kenya High Court awarded the plaintiff KShs 15 million which counsel for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alleged was equivalent to UShs 700 million. He also cited </w:t>
      </w:r>
      <w:r>
        <w:rPr>
          <w:rFonts w:ascii="Times New Roman" w:hAnsi="Times New Roman" w:cs="Times New Roman"/>
          <w:i/>
          <w:iCs/>
          <w:color w:val="000000"/>
        </w:rPr>
        <w:t xml:space="preserve">Machira v Mwangi </w:t>
      </w:r>
      <w:r>
        <w:rPr>
          <w:rFonts w:ascii="Times New Roman" w:hAnsi="Times New Roman" w:cs="Times New Roman"/>
          <w:color w:val="000000"/>
        </w:rPr>
        <w:t>[2001] 1 EA 110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Kenya High Court awarded the plaintiff KShs 2 million. Counsel converted this to UShs 250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million. Counsel further cited several cases of this Court including </w:t>
      </w:r>
      <w:r>
        <w:rPr>
          <w:rFonts w:ascii="Times New Roman" w:hAnsi="Times New Roman" w:cs="Times New Roman"/>
          <w:i/>
          <w:iCs/>
          <w:color w:val="000000"/>
        </w:rPr>
        <w:t xml:space="preserve">Wavamuno v Cheye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where this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awarded the plaintiff UShs 15 million and </w:t>
      </w:r>
      <w:r>
        <w:rPr>
          <w:rFonts w:ascii="Times New Roman" w:hAnsi="Times New Roman" w:cs="Times New Roman"/>
          <w:i/>
          <w:iCs/>
          <w:color w:val="000000"/>
        </w:rPr>
        <w:t xml:space="preserve">Sempa v Cheye and another </w:t>
      </w:r>
      <w:r>
        <w:rPr>
          <w:rFonts w:ascii="Times New Roman" w:hAnsi="Times New Roman" w:cs="Times New Roman"/>
          <w:color w:val="000000"/>
        </w:rPr>
        <w:t>High Court civil suit 644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2001 where this Court awarded UShs 15 million. Of course counsel for the defendants prayed for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dismissal of the suit. In the alternative he submitted that the Court should, if, at all it was to award any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damages, award “very nominal damages only to assuage his (plaintiff’s injured self-estimation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himself”.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argument was that the “plaintiff did not lead any evidence showing that the publication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lowered him in the estimation of right-thinking members of society. No such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right-thinking members of society were called to give evidence”. I have already covered this aspect when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the first issue and need not repeat myself.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defendants further submitted that in paragraph 2 of their written statement of defence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denied wide circulation of the “New Vision” and that the plaintiff failed to prove it. It is to be noted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defendant did not call any evidence to contradict or challenge PW1’s evidence that the “New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Vision” circulates all over Uganda and is also posted on the Internet. This evidence was not even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cross-examined on by defendants’ Counsel. The defendants have better knowledge of the circulation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paper. However this Court takes judicial notice that the paper has wide circulation in the whole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Uganda, and is read in the countries of East Africa. In </w:t>
      </w:r>
      <w:r>
        <w:rPr>
          <w:rFonts w:ascii="Times New Roman" w:hAnsi="Times New Roman" w:cs="Times New Roman"/>
          <w:i/>
          <w:iCs/>
          <w:color w:val="000000"/>
        </w:rPr>
        <w:t xml:space="preserve">Wanetosi v Okware and others </w:t>
      </w:r>
      <w:r>
        <w:rPr>
          <w:rFonts w:ascii="Times New Roman" w:hAnsi="Times New Roman" w:cs="Times New Roman"/>
          <w:color w:val="000000"/>
        </w:rPr>
        <w:t>High Court civil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575 of 1996.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William Edward Catkat Pike testified,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am the Editor-in-Chief and managing director of the New Vision Publishing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 at the material time (18 October 1996) the second defendant was publishing 30 000 (thirty thousand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only) copies of the “New Vision”. The second defendant is the leader in the market. The “New Vision”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read throughout East Africa”.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foregoing I do not subscribe to counsel for the defendants’ submissions which were not backed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any evidence. I dismiss them.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defendants further submitted that although the nature of the libel could be a guide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assessing damages the publication in the present case referred to corruption “in regard to the judiciary as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whole and not the plaintiff”. I have already dismissed this matter when dealing with issue number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 have stated that the article referred to the plaintiff both by his office and full names. It went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ahead to point out only two applications which were handled by the plaintiff. It made the conclusion: “Is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no corruption in the High Court amongst some of Judges?” No other Judge’s name was mentioned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or implicitly. No other court file was referred to explicitly or implicitly. It is my holding that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the blindest of the blind could have “seen” that this article expressly referred to the plaintiff alone.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defendants’ submission, therefore, has no merit.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spate of cases on damages for defamation have been decided. I will cite only a few: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Wavamuno v Cheye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civil suit number 651 of 1995 where the plaintiff prayed for UShs 50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million but was awarded UShs 15 million in general damages.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Odongkara v Astles </w:t>
      </w:r>
      <w:r>
        <w:rPr>
          <w:rFonts w:ascii="Times New Roman" w:hAnsi="Times New Roman" w:cs="Times New Roman"/>
          <w:color w:val="000000"/>
          <w:sz w:val="20"/>
          <w:szCs w:val="20"/>
        </w:rPr>
        <w:t>[1970] EA 374 where the plaintiff was awarded 5 million.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 xml:space="preserve">Mayanja v Editor of Mulengera Newspaper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plaintiff was awarded UShs 6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million in general damages and UShs 2 million as aggravated damages.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Matembe and another v Cheye and another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civil suit number 104 of 1995 where the two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plaintiffs were awarded UShs 11 million each in general damaged.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Biwott v Clays Ltd </w:t>
      </w:r>
      <w:r>
        <w:rPr>
          <w:rFonts w:ascii="Times New Roman" w:hAnsi="Times New Roman" w:cs="Times New Roman"/>
          <w:color w:val="000000"/>
          <w:sz w:val="20"/>
          <w:szCs w:val="20"/>
        </w:rPr>
        <w:t>[2000] 2 EA 334 where the plaintiff was awarded UShs 15 million in compensatory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exemplary damages and a permanent injunction was granted restraining the defendants from selling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circulating the book complained of.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 this case, I repeat, is the third highest-place in the hierarchy of the Uganda Judiciary.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commands a highly respectable standing both locally and internationally, having previously “served as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administrator general and Registrar general without being accused of corruption”.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Wavamuno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AE Mpagi-Bahigeine J said: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this regard I have to consider the plaintiff’s position and standing, the nature of the libel and the mode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 of the publication the absence of apology or retraction and the whole conduct of the defendant from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the article was published down to the date of judgment and I think this it is pertinent to echo the words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Mackinnon LJ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Groom v Crocker </w:t>
      </w:r>
      <w:r>
        <w:rPr>
          <w:rFonts w:ascii="Times New Roman" w:hAnsi="Times New Roman" w:cs="Times New Roman"/>
          <w:color w:val="000000"/>
          <w:sz w:val="20"/>
          <w:szCs w:val="20"/>
        </w:rPr>
        <w:t>[1939] 1 KB 194 at 231 that ‘A soiled reputation seems assured of more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liberal assuagement than a compound fracture’. I however do not consider that money alone can assuage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tarnished image reputation of his (a man’s) name is much more important. But it may be observed that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are at large because it is impossible to weigh closely the compensation which will compensate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for an insult offered or the pain of false accusation. It is never possible to track a scandal and know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quarters the poison may reach.” (See Lord Atkin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Ley v Hamilton </w:t>
      </w:r>
      <w:r>
        <w:rPr>
          <w:rFonts w:ascii="Times New Roman" w:hAnsi="Times New Roman" w:cs="Times New Roman"/>
          <w:color w:val="000000"/>
          <w:sz w:val="20"/>
          <w:szCs w:val="20"/>
        </w:rPr>
        <w:t>[1935] 1 53 LT at 386).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adopt these persuasive words.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his undisputed status the plaintiff would be entitled to a higher award than the award given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Wavamuno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Matembe</w:t>
      </w:r>
      <w:r>
        <w:rPr>
          <w:rFonts w:ascii="Times New Roman" w:hAnsi="Times New Roman" w:cs="Times New Roman"/>
          <w:color w:val="000000"/>
        </w:rPr>
        <w:t>, Honourable Lugayizi J.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considered the “nature of the libel”. Corruption is being internationally hounded aggressively. I have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told of the evidence the plaintiff gave about the damage the publication visited his hitherto untarnished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reputation. I haveshown the extent of the publication and absence of apology or retraction. Shortly I will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reflect on the conduct of defendants and their counsel before publication, after publication, when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notice was served, after filing of the pleadings and during the hearing. I feel this is an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opportunity point to reiterate to words of AE Mpagi-Bahigaine J in the </w:t>
      </w:r>
      <w:r>
        <w:rPr>
          <w:rFonts w:ascii="Times New Roman" w:hAnsi="Times New Roman" w:cs="Times New Roman"/>
          <w:i/>
          <w:iCs/>
          <w:color w:val="000000"/>
        </w:rPr>
        <w:t xml:space="preserve">Wavamuno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where she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consider the defendants have turned investigative journalism into speculative and imaginary journalism.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a matter of regret that they have developed a culture of disrespect and intimidation to the very people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are supposed to inform and educate. Failure to research and substantiate what they write leaves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 in no doubt that they are gradually abandoning their very important role of educating and informing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public and turning into an oppressive and persecuting machinery intended to demoralise and intimidate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public”.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adopt these sentiments without any gloss. These sentiments were voiced on 24 October 1995 when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was delivered. Alas! Since then the journalists have not picked the cue. I have also taken into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the element of inflation since the awards I have cited were made.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support in the matters I have considered, under this head of damages in the following statements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law.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paragraph 1325 of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“At the trial of an action for defamation the plaintiff may show the mode and extent of the publication with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view to the amount of damages. If the libel is published in a newspaper the plaintiff may give in evidence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 of the circulation. “Surely the proprietor of a newspaper, with a very large circulation, is to be visited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large damages for a libel published it than one of a more limited circulation” (see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Printing v</w:t>
      </w:r>
      <w:r w:rsidR="002A1D3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Maclean </w:t>
      </w:r>
      <w:r>
        <w:rPr>
          <w:rFonts w:ascii="Times New Roman" w:hAnsi="Times New Roman" w:cs="Times New Roman"/>
          <w:color w:val="000000"/>
          <w:sz w:val="20"/>
          <w:szCs w:val="20"/>
        </w:rPr>
        <w:t>[1896] 23 Ontarion app R 324.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paragraph 1327 of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 xml:space="preserve">) it is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jury in assessing the damages are entitled to look at the whole conduct of the defendant from the time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 libel was published down to the very moment of the verdict. Quite obviously the award must include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factors for inquiry to the feelings, the anxiety and uncertainty undergone in the litigation, the absence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apology or the malice of the defendant. Any evidence which goes to show that the defendant had no belief in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truth of his statement will be evidence of malice. If the defendant published untrue defamatory matter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recklessly without considering or caring whether it be true or not, he is treated as if he knew it to. See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Gatley</w:t>
      </w:r>
      <w:r>
        <w:rPr>
          <w:rFonts w:ascii="Times New Roman" w:hAnsi="Times New Roman" w:cs="Times New Roman"/>
          <w:color w:val="000000"/>
          <w:sz w:val="20"/>
          <w:szCs w:val="20"/>
        </w:rPr>
        <w:t>”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ante</w:t>
      </w:r>
      <w:r>
        <w:rPr>
          <w:rFonts w:ascii="Times New Roman" w:hAnsi="Times New Roman" w:cs="Times New Roman"/>
          <w:color w:val="000000"/>
          <w:sz w:val="20"/>
          <w:szCs w:val="20"/>
        </w:rPr>
        <w:t>) paragraph 769 and 1342. The defendant’s recklessness or gross negligence in publishing an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untrue defamatory statement may also be taken”.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hereinbefore shown that from the unchallenged and uncontradicted evidence of the plaintiff at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circulation of the “New Vision” paper is all over Uganda and crosses to our sister republics and is even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internet. I therefore hold that the paper has a wide coverage and publishes than 30 000 copies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day.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conduct of the defendants. Before the publication the defendants must have known that the article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two Court files. These are public documents available to anyone for perusal. The defendants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bother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peruse them. They very well knew that the article concerned the third-highest placed Judge in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hierarchy of the country’s judiciary consisting of about forty bewigged Judges and is one of the three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arms of the government. When publishing the editor demanded from the otherwise non-committed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reading public to pay special attention to the </w:t>
      </w:r>
      <w:r>
        <w:rPr>
          <w:rFonts w:ascii="Times New Roman" w:hAnsi="Times New Roman" w:cs="Times New Roman"/>
          <w:color w:val="000000"/>
        </w:rPr>
        <w:lastRenderedPageBreak/>
        <w:t>highlighted article “Corruption alive and well in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Judiciary”. Furthermore the defendants withheld the name of the author of the article. In my considered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this amounted to calculated reckless malice and callousness. My further view is that by demanding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public to pay special attention the defendant’s intention was to increase their sales and make a profit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expenses of the plaintiff.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publishing. The plaintiff issued a statutory notice to sue on the defendants. It was dated 23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2002. It was served on the defendants 23 December 2002 as evidenced by the affidavit of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of Niwandinda Kab Anthony sworn on 8 January 2003. This was pleaded in paragraph 8 of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plaint. This allegation was not denied in the defendant’s written statement of defence. And it was never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throughout the proceedings. In the penultimate paragraph of the statutory notice the plaintiff’s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pointed out the contents of the articles complained of were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false. The notice subsisted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till 28 February 2003, when the plaintiff filed this suit. For all this period the defendants did not bother to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 out and find out the truth from the Court files, the plaintiff, or Court clerks. They never offered any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apology. Instead they went ahead to file and filed the written statement of defence 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hearing: The hearing commenced on 20 August 2003. The plaintiff was ready to proceed.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counsel for the defendants sought an adjournment “with a view to negotiating a settlement”.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asked for two weeks. The hearing was adjourned and fixed for 5 September 2003. On 21 August 2003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defendants wrote to the Registrar, High Court reference ODKI/VIS/163/97. In this letter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defendants’ counsel wrote,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“Given the fact that: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A1D39" w:rsidRDefault="00B56EA5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 as the principal Judge is the administrative head of the tribunal before which his matter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presented.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nature of the “allegations” of delay and corruption in the High Court, being the subject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contention.</w:t>
      </w:r>
    </w:p>
    <w:p w:rsidR="002A1D39" w:rsidRDefault="002A1D39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56EA5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B56EA5">
        <w:rPr>
          <w:rFonts w:ascii="Times New Roman" w:hAnsi="Times New Roman" w:cs="Times New Roman"/>
          <w:color w:val="000000"/>
          <w:sz w:val="20"/>
          <w:szCs w:val="20"/>
        </w:rPr>
        <w:t xml:space="preserve"> Registrar himself, Mr Lawrence Gidudu is detailed as witness for the plaintiff, together with other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56EA5">
        <w:rPr>
          <w:rFonts w:ascii="Times New Roman" w:hAnsi="Times New Roman" w:cs="Times New Roman"/>
          <w:color w:val="000000"/>
          <w:sz w:val="20"/>
          <w:szCs w:val="20"/>
        </w:rPr>
        <w:t>officers of the High Court.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A1D39" w:rsidRDefault="00B56EA5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Judge, the learned Justice Gideon Tinyinondi himself sometimes acts as acting principal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56EA5" w:rsidRDefault="00B56EA5" w:rsidP="002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trial Judge above, has himself filed a statutory notice of intention to sue the same defendants, for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similar cause of action, claiming UShs 50 000 000 (see notice attached).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Our client is left with no option but to conclude that there is a manifest likelihood of bias, and or miscarriage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justice.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these reasons, the defendant’s hands are clearly tied and humbly request that its above concerns be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brought to the attention of the trial Judge and that the Learned Judge steps down from the conduct of this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if it is not stayed altogether and referred to arbitration, before an arbitrator if both parties’ choice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preferably the right Honourable Mr Justice Wako Wakambuzi (retired), before the next hearing date”.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in may view, was unprofessional conduct by counsel. The legitimate procedure was: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apply to the trial Judge to disqualify himself from hearing the case, give and defend the reasons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obtain a ruling.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Not to take it upon himself to appoint and assign Court work to a retired Judge whom the whole legal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fraternity and many citizens of Uganda knew was not endeared to the plaintiff both officially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personally.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However, on 5 September 2003 counsel for the defendants stated that a settlement was no longer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possible. He then raised and repeated his objections in the said letter in open Court. It is noteworthy 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abandoned the objection to my trying the case. On 10 September 2003 plaintiff’s counsel replied. I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delivered my ruling, overruling the objections, on 17 September 2003. On 20 November 2003 when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came up for hearing, defendant’s counsel sought the last adjournment to pursue settlement. He asked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one week. I granted it and fixed the case for hearing on 27 November 2003. On the fixed date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and counsel were in Court. Neither the defendants nor their counsel were present. Counsel for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applied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stating that the defendants’ counsel had asked for the last adjournment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promising to settle but had never communicated to the plaintiff or his counsel. I granted the request,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satisfied by the reasons advanced. Hearing started at 9:03am. At 9:50am counsel for the defendants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materialised and asked Court to finish him with the Court record for him to peruse and cross-examine the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witness (the plaintiff.) I granted the request but the proceeding continued normally for the second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who was cross-examined and closed the plaintiff’s case. Hearing was adjourned to 15 January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for cross-examination of PW1. This was done. The proceedings in the case were closed and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reserved. I have gone to this length to show that the conduct of the defendants was cynical,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spiteful and deplorable. They played delaying tactics of all sorts and, in cross-examination, persisted in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imputation they ought to have known, but for their being ostriches, that was unresearched and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uninformed. I find support from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paragraph 1329. I also find for malice on the defendants’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discourse I find and hold that the plaintiff is entitled to compensatory damages.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paragraph 9(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plaint the plaintiff prayed for aggravated “damages for the outrageous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publication”. In “Gatley” paragraph 1452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awarding ‘aggravated damages’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natural indignation of the Court at the injury inflicted on the plaintiff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 perfectly legitimate motive for making a generous, rather than more moderate award, to provide an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adequate solatium; that is because the injury to the plaintiff is actually greater, and, as the result of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exciting the indignation, demands a more generous solatium”.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have failed to trace any decided authority or authoritative treatise that states that general damages and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 are awardable under separate heads. On the other hands the statements and cases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quoted in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indicate that when the Court is considering the damages in both heads the same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bases are used. It is in the light of this that I consider a sum of UShs 30 million (thirty million shillings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only) adequate for both general and aggravated damages to which the plaintiff is entitled.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9(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of the plaint the plaintiff prayed for exemplary/punitive damages. In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1454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“Exemplary damages, or punitive damages as they are otherwise described, may be awarded for two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categories only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...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Where the defendant’s tortious act has been done with guilty knowledge, for the motive that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chances of economic advantage outweigh the chances of economic, of perhaps physical penalty”.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need only emphasise that this branch of the law was long ago settled in </w:t>
      </w:r>
      <w:r>
        <w:rPr>
          <w:rFonts w:ascii="Times New Roman" w:hAnsi="Times New Roman" w:cs="Times New Roman"/>
          <w:i/>
          <w:iCs/>
          <w:color w:val="000000"/>
        </w:rPr>
        <w:t xml:space="preserve">Rookes v Banard </w:t>
      </w:r>
      <w:r>
        <w:rPr>
          <w:rFonts w:ascii="Times New Roman" w:hAnsi="Times New Roman" w:cs="Times New Roman"/>
          <w:color w:val="000000"/>
        </w:rPr>
        <w:t>[1964] AC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1129 and for the purpose of this case the pertinent speech of Lord Delvin is at 1227: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“it” (that is the motive of making a profit) “ a factor also that is taken into account in damages for libel; one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 should not be allowed to sell another man’s reputation for profit. Where a defendant with a cynical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disregard for a plaintiff’s rights has calculated that the money to be made out of his wrongdoing will probably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exceed the damages at risk, it is necessary for the law to show that it cannot be broken with impunity. This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category is not confirmed to money-making in the strict sense. It extends to cases in which the defendant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seeking to gain at the expense of the plaintiff some object perhaps some property which he covets – which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he could not obtain at all or not obtain except at a price greater than he wants to put down. Exemplary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can properly be awarded whenever it is necessary to teach a wrongdoer that tort does not pay”.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Broome v Cassell and Co </w:t>
      </w:r>
      <w:r>
        <w:rPr>
          <w:rFonts w:ascii="Times New Roman" w:hAnsi="Times New Roman" w:cs="Times New Roman"/>
          <w:color w:val="000000"/>
        </w:rPr>
        <w:t>[1972] AC 1079, it was said: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is true, of course, as was well pointed out by Windgery J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Manson v Associated Newspapers Ltd </w:t>
      </w:r>
      <w:r>
        <w:rPr>
          <w:rFonts w:ascii="Times New Roman" w:hAnsi="Times New Roman" w:cs="Times New Roman"/>
          <w:color w:val="000000"/>
          <w:sz w:val="20"/>
          <w:szCs w:val="20"/>
        </w:rPr>
        <w:t>[1965]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 WLR 1038, 1045, that the mere fact that a tort, and particularly a libel, is committed in the course of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business carried on for profit is not sufficient to bring a case within the second category. Nearly all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newspapers, and most books, are published for profit. What is necessary in addition is (i) knowledge that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proposed to be done is against the law or a reckless disregard whether what is proposed to be done is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illegal or legal, and (ii) a decision to carry on doing it because the prospectus of material advantage outweigh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prospects of material loss. It is not necessary that the defendant calculates that the plaintiff’s damages if 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sues to judgment will be smaller than the defendant’s profit. This is simply one example of the principle.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may calculate that the plaintiff will not sue at all because he has not the money (I suppose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 in a contested libel action like the present must be prepared nowadays to put at least 30 000 pounds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some risk), or because he may be physically or otherwise intimidated. What is necessary is that the tortious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must be done with guilty knowledge for the motive that the chances of economic advantage outweigh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chances of economic, or perhaps physical, penalty”.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before me the plaintiff in his evidence-in-chief, when referred to paragraph 9(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plaint,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claim for exemplary damages was aggravated in the defence pleadings”.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did not expound on this statement. Probably after a long spell testifying he became exhausted. I have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hereinabove stated that the manner/method used by the defendants where the editor of the paper made a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clarion call demanding the public to give “special attention” could be motivated by a desire to make more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bucks in his sales at the expense of the plaintiff. In passing I again mention that the defendants did not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 evidence to contradict this. I hold that the plaintiff is entitled to this head of damages. In paragraph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14 of </w:t>
      </w:r>
      <w:r>
        <w:rPr>
          <w:rFonts w:ascii="Times New Roman" w:hAnsi="Times New Roman" w:cs="Times New Roman"/>
          <w:i/>
          <w:iCs/>
          <w:color w:val="000000"/>
        </w:rPr>
        <w:t xml:space="preserve">Gatley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ante</w:t>
      </w:r>
      <w:r>
        <w:rPr>
          <w:rFonts w:ascii="Times New Roman" w:hAnsi="Times New Roman" w:cs="Times New Roman"/>
          <w:color w:val="000000"/>
        </w:rPr>
        <w:t>) it is stated: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Relation to compensatory damages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 case in which exemplary damages are appropriate, a jury should be directed that if, but only if, the sum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they have in mind to award as compensation (which may, of course, be a sum aggravated by the way in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the defendant has behaved to the plaintiff) is inadequate to punish him for his outrageous conduct, to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mark their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disapproval of such conduct and to deter him from repeating it, them it can award some large sum. But there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no double counting.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only practical way to proceed is first to look at the case from the point of view of compensating the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plaintiff. He must not only be compensated for proved actual loss but also for any injury to his feelings and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having had to suffer insults, indignities and the like. And where the defendant has behaved outrageously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very full compensation may be proper for that. So the tribunal will fix in their minds what sum would be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as compensatory damages. Then if it has been determined that the case is a proper one for punitive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the tribunal must turn its attention to the defendant and ask itself whether the sum it has already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fixed as compensatory damages is or not adequate to serve the second purpose of punishment or deterrence. If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think that that sum is adequate for the second purpose as well as the first they must not add anything to it.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sufficient both as compensatory and punitive damages. But if they think that sum is insufficient as a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punishment then they must add to it enough to bring it up to a sum sufficient as punishment. The one thing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which they must not do is to fix sums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as compensation and as punitive damages and add them together. They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realise that the compensatory damages are always part of the total punishment”.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due consideration of the evidence in the case and the law I am satisfied that this is a proper case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punitive damages should be awarded. However considering the sum of UShs 30 million which I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awarded as compensatory and aggravated damages as being adequate I propose not to add anything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9(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the plaintiff prayed for a permanent injunction against the defendants restraining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from any future outrageous publication against him. I hereby grant if.</w:t>
      </w:r>
      <w:r w:rsidR="002A1D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conclude, I hereby enter judgment for the plaintiff against the defendants for: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C ompensatory general damages inclusive of exemplary damages of UShs 30 million (thirty million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shillings only).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A permanent injunction against the defendants restraining them from any future defamatory</w:t>
      </w:r>
      <w:r w:rsidR="002A1D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publication against the plaintiff.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I nterest at 18% on a(1) from the date of judgment till payment in full.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C osts of the suit.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Miss G Babihuga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Babihuga &amp; Co</w:t>
      </w:r>
    </w:p>
    <w:p w:rsidR="00B56EA5" w:rsidRDefault="00B56EA5" w:rsidP="00B56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21070D" w:rsidRDefault="00B56EA5" w:rsidP="00B56EA5">
      <w:r>
        <w:rPr>
          <w:rFonts w:ascii="Times New Roman" w:hAnsi="Times New Roman" w:cs="Times New Roman"/>
          <w:i/>
          <w:iCs/>
          <w:color w:val="000000"/>
        </w:rPr>
        <w:t xml:space="preserve">Mr D Owor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Kituuma Magala &amp; Co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A5"/>
    <w:rsid w:val="0021070D"/>
    <w:rsid w:val="002A1D39"/>
    <w:rsid w:val="00B5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BE4F6-0F03-4D45-9864-6E8CE412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8697</Words>
  <Characters>49575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2018-07-04T12:55:00Z</dcterms:created>
  <dcterms:modified xsi:type="dcterms:W3CDTF">2018-07-13T17:25:00Z</dcterms:modified>
</cp:coreProperties>
</file>