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Nyadoi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Railways Corporation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31 May 1974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1276/1973 (122/74)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Pleading – Cause of action – Act of servant alleged – Presumption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responsibility of master – Cause of action shown.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Practice and Procedure – Plaint – Contents – Name of defendant only required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not names of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servants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Civil Procedure Rules</w:t>
      </w:r>
      <w:r>
        <w:rPr>
          <w:rFonts w:ascii="Times New Roman" w:hAnsi="Times New Roman" w:cs="Times New Roman"/>
          <w:color w:val="000000"/>
        </w:rPr>
        <w:t xml:space="preserve">, O. 7,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1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FB1C0E" w:rsidRDefault="000B66D3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B66D3" w:rsidRDefault="00FB1C0E" w:rsidP="000B6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Saied J: </w:t>
      </w:r>
      <w:r>
        <w:rPr>
          <w:rFonts w:ascii="Times New Roman" w:hAnsi="Times New Roman" w:cs="Times New Roman"/>
          <w:color w:val="000000"/>
        </w:rPr>
        <w:t>This is an application by the defendant under O. 7, r. 11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Civil Procedure Rules that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be rejected on the ground that it does not disclose a cause of action.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plaintiff’s claim against the defendant is for general and special damages based on a cause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which is set out in paras. 3 and 4 of the plaint as follows:</w:t>
      </w:r>
      <w:r w:rsidR="000B66D3">
        <w:rPr>
          <w:rFonts w:ascii="Times New Roman" w:hAnsi="Times New Roman" w:cs="Times New Roman"/>
          <w:color w:val="000000"/>
        </w:rPr>
        <w:t xml:space="preserve"> </w:t>
      </w:r>
    </w:p>
    <w:p w:rsidR="00FB1C0E" w:rsidRDefault="00FB1C0E" w:rsidP="000B6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“3. The plaintiff’s claim against the defendant is for general damages and special damages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370/-.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said claim arose 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herebelow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stated.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O n, or about, the 30.8.73 at 9.30 p.m.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Nagongera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Uganda, the plaintiff, who was lawfully travelling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a passenger in the defendant’s train, was negligently/carelessly pushed outside off the moving train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and/or made to fall offside the moving train by the defendant’s servants/employees/agents and as a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 caused the plaintiff to suffer very severe injuries.”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plaint continues to set out the particulars of negligence attributed to the </w:t>
      </w:r>
      <w:r w:rsidR="000B66D3">
        <w:rPr>
          <w:rFonts w:ascii="Times New Roman" w:hAnsi="Times New Roman" w:cs="Times New Roman"/>
          <w:color w:val="000000"/>
        </w:rPr>
        <w:t xml:space="preserve">defendant’s </w:t>
      </w:r>
      <w:r>
        <w:rPr>
          <w:rFonts w:ascii="Times New Roman" w:hAnsi="Times New Roman" w:cs="Times New Roman"/>
          <w:color w:val="000000"/>
        </w:rPr>
        <w:t>servant/employees/agents.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filed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admitting that the plaintiff was a passenger in the train but denied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allegations contained in para. 4 of the plaint. Alternatively, the defendant pleaded contributory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negligence and, lastly, stated that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was filed without prejudice to the defendant’s contention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plaint does not disclose any cause of action for the failure to disclose the defendant’s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servants/employees/agents and whether or not they were acting in the scope of their employment.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objection forms the subject matter of this application which Mr. 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>, appearing for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argued on two fronts. First, he submitted that the plaint was lacking in giving certain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information as required by O. 7, r. 1. He relies on sub-rules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). He maintained that the identity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defendant’s servants etc., allegedly responsible for pushing the plaintiff out of the moving train,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to have been set out as required by sub-rule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). His argument is that the defendant, who employs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many people, has been unable to establish the identity of the servants/employees/agents concerned. Mr.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Kasule</w:t>
      </w:r>
      <w:proofErr w:type="spellEnd"/>
      <w:r>
        <w:rPr>
          <w:rFonts w:ascii="Times New Roman" w:hAnsi="Times New Roman" w:cs="Times New Roman"/>
          <w:color w:val="000000"/>
        </w:rPr>
        <w:t>, who appeared for the plaintiff, submitted that the particulars required under this sub-rule of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have been supplied.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think that Mr. 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has not only misconstrued the sub-rule but misread it. It reads: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plaint shall contain the following particulars–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name, description and place of residence of the defendant, so far as they can be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ascertained.”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Paragraph 2 of the plaint does in fact give such particulars of the defendant Corporation which is being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sued under the doctrine of vicarious liability. There is nothing in sub-rule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to require the particulars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defendant’s servants/employees/agents to be set out in the plaint. I see no merit in this objection.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Hayanga’s</w:t>
      </w:r>
      <w:proofErr w:type="spellEnd"/>
      <w:r>
        <w:rPr>
          <w:rFonts w:ascii="Times New Roman" w:hAnsi="Times New Roman" w:cs="Times New Roman"/>
          <w:color w:val="000000"/>
        </w:rPr>
        <w:t xml:space="preserve"> second objection relates to the cause of action. He relies on 0.7, r. 1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as a prop for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main argument that the plaint does not disclose any cause of action under r. 11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). It is obvious that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para. 4 of the plaint satisfies the requirements of sub-rule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as it sets out the “facts constituting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and when it arose”. I need not dwell on this argument.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issue, which was argued at length, is whether the plaint discloses a cause of action. Mr.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Hayanga’s</w:t>
      </w:r>
      <w:proofErr w:type="spellEnd"/>
      <w:r>
        <w:rPr>
          <w:rFonts w:ascii="Times New Roman" w:hAnsi="Times New Roman" w:cs="Times New Roman"/>
          <w:color w:val="000000"/>
        </w:rPr>
        <w:t xml:space="preserve"> contention is that the plaint omits one essential averment, which is that the particular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servants/employees/agents, for whose wrongful acts the defendant is now being sued, were at the relevant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acting in the course of their employment or in discharge of their duties. He cited the case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Muwonge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[1967] E.A. p. 17, as authority for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 ingredients of vicarious liability which ought to be pleaded. He relied on four previous cases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court in support of his argument. Those cases are </w:t>
      </w:r>
      <w:r>
        <w:rPr>
          <w:rFonts w:ascii="Times New Roman" w:hAnsi="Times New Roman" w:cs="Times New Roman"/>
          <w:i/>
          <w:iCs/>
          <w:color w:val="000000"/>
        </w:rPr>
        <w:t xml:space="preserve">Constant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Munyegera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General Motors </w:t>
      </w:r>
      <w:r>
        <w:rPr>
          <w:rFonts w:ascii="Times New Roman" w:hAnsi="Times New Roman" w:cs="Times New Roman"/>
          <w:color w:val="000000"/>
        </w:rPr>
        <w:t>(1972),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H.C.B., 127 (unreported);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Mbarara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Registry Civil Suit No. 1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1972 (unreported); </w:t>
      </w:r>
      <w:r>
        <w:rPr>
          <w:rFonts w:ascii="Times New Roman" w:hAnsi="Times New Roman" w:cs="Times New Roman"/>
          <w:i/>
          <w:iCs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Mbabazi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 xml:space="preserve">, H.C.C.C. No. 654 of 1972 (unreported); </w:t>
      </w:r>
      <w:r>
        <w:rPr>
          <w:rFonts w:ascii="Times New Roman" w:hAnsi="Times New Roman" w:cs="Times New Roman"/>
          <w:i/>
          <w:iCs/>
          <w:color w:val="000000"/>
        </w:rPr>
        <w:t>Joseph</w:t>
      </w:r>
      <w:r w:rsidR="000B66D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Ngalomyambe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H.C.C.C. No. 728 of 1972.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said that these four decisions find support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Sullivan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Alimohamed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Osman</w:t>
      </w:r>
      <w:r>
        <w:rPr>
          <w:rFonts w:ascii="Times New Roman" w:hAnsi="Times New Roman" w:cs="Times New Roman"/>
          <w:color w:val="000000"/>
        </w:rPr>
        <w:t>, [1959]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E.A. 239. The last case cited by him 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>, [1973] E.A. 265 which he sought to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 on the basis that there the defendant’s servant was known and the issue involved s. 4 of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Proceedings Act.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plaintiff maintained that it is not necessary to identify the particular servant of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as to do so would be tantamount to pleading matters of evidence which is not permissible.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Relying on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Commissioner of Transport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Gohil</w:t>
      </w:r>
      <w:proofErr w:type="spellEnd"/>
      <w:r>
        <w:rPr>
          <w:rFonts w:ascii="Times New Roman" w:hAnsi="Times New Roman" w:cs="Times New Roman"/>
          <w:color w:val="000000"/>
        </w:rPr>
        <w:t>, [1959] E.A. 936, he said that the omission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relied upon by Mr. 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does not render the plaint incompetent. Mr. </w:t>
      </w:r>
      <w:proofErr w:type="spellStart"/>
      <w:r>
        <w:rPr>
          <w:rFonts w:ascii="Times New Roman" w:hAnsi="Times New Roman" w:cs="Times New Roman"/>
          <w:color w:val="000000"/>
        </w:rPr>
        <w:t>Kasule</w:t>
      </w:r>
      <w:proofErr w:type="spellEnd"/>
      <w:r>
        <w:rPr>
          <w:rFonts w:ascii="Times New Roman" w:hAnsi="Times New Roman" w:cs="Times New Roman"/>
          <w:color w:val="000000"/>
        </w:rPr>
        <w:t xml:space="preserve"> went on to comment on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which “sets out the law properly”.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shall start with the latest authority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I should say at once that I do not agree with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Hayanga’s</w:t>
      </w:r>
      <w:proofErr w:type="spellEnd"/>
      <w:r>
        <w:rPr>
          <w:rFonts w:ascii="Times New Roman" w:hAnsi="Times New Roman" w:cs="Times New Roman"/>
          <w:color w:val="000000"/>
        </w:rPr>
        <w:t xml:space="preserve"> comment that this case has no application to the instant case because it dealt with s. 4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Government Proceedings Act. The contention there also was that the plaint disclosed no cause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as there was no averment that the servant was driving the vehicle in the course of his employment.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no hesitation in saying that that case is of immense persuasive value in considering the objection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raised in this case. </w:t>
      </w:r>
      <w:proofErr w:type="spellStart"/>
      <w:r>
        <w:rPr>
          <w:rFonts w:ascii="Times New Roman" w:hAnsi="Times New Roman" w:cs="Times New Roman"/>
          <w:color w:val="000000"/>
        </w:rPr>
        <w:t>Phadke</w:t>
      </w:r>
      <w:proofErr w:type="spellEnd"/>
      <w:r>
        <w:rPr>
          <w:rFonts w:ascii="Times New Roman" w:hAnsi="Times New Roman" w:cs="Times New Roman"/>
          <w:color w:val="000000"/>
        </w:rPr>
        <w:t>, J., considering the two “streams” of previous decisions, which seem to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conflict in that the first set of cases, including two of this court cited by Mr. 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>, that is No. 1 and 2,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Sullivan’s </w:t>
      </w:r>
      <w:r>
        <w:rPr>
          <w:rFonts w:ascii="Times New Roman" w:hAnsi="Times New Roman" w:cs="Times New Roman"/>
          <w:color w:val="000000"/>
        </w:rPr>
        <w:t>case,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favoured</w:t>
      </w:r>
      <w:proofErr w:type="spellEnd"/>
      <w:r>
        <w:rPr>
          <w:rFonts w:ascii="Times New Roman" w:hAnsi="Times New Roman" w:cs="Times New Roman"/>
          <w:color w:val="000000"/>
        </w:rPr>
        <w:t xml:space="preserve"> a rigid interpretation of 0.7, r. 11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); while the other set of cases,</w:t>
      </w:r>
    </w:p>
    <w:p w:rsidR="00FB1C0E" w:rsidRDefault="00FB1C0E" w:rsidP="000B66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including </w:t>
      </w:r>
      <w:r>
        <w:rPr>
          <w:rFonts w:ascii="Times New Roman" w:hAnsi="Times New Roman" w:cs="Times New Roman"/>
          <w:i/>
          <w:iCs/>
          <w:color w:val="000000"/>
        </w:rPr>
        <w:t xml:space="preserve">Auto Garage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Matokov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No. 3</w:t>
      </w:r>
      <w:r>
        <w:rPr>
          <w:rFonts w:ascii="Times New Roman" w:hAnsi="Times New Roman" w:cs="Times New Roman"/>
          <w:color w:val="000000"/>
        </w:rPr>
        <w:t>), [1971] E.A. 514, being inclined towards a more liberal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approach, concluded with the comment at p. 268: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seems that whereas the Court of Appeal may have formerly been minded to take a rigid view of 0.7, r. 11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Hasmani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National Bank of India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), and possibly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Sullivan v.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Alimohamed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Osman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), its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current view is to adopt a more liberal approach based upon different reasoning.”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interesting to note that in the </w:t>
      </w:r>
      <w:proofErr w:type="spellStart"/>
      <w:r>
        <w:rPr>
          <w:rFonts w:ascii="Times New Roman" w:hAnsi="Times New Roman" w:cs="Times New Roman"/>
          <w:color w:val="000000"/>
        </w:rPr>
        <w:t>later</w:t>
      </w:r>
      <w:proofErr w:type="spellEnd"/>
      <w:r>
        <w:rPr>
          <w:rFonts w:ascii="Times New Roman" w:hAnsi="Times New Roman" w:cs="Times New Roman"/>
          <w:color w:val="000000"/>
        </w:rPr>
        <w:t xml:space="preserve">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Kawesa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Attorney-General</w:t>
      </w:r>
      <w:r>
        <w:rPr>
          <w:rFonts w:ascii="Times New Roman" w:hAnsi="Times New Roman" w:cs="Times New Roman"/>
          <w:color w:val="000000"/>
        </w:rPr>
        <w:t xml:space="preserve">, [1973] E.A. 407, </w:t>
      </w:r>
      <w:proofErr w:type="spellStart"/>
      <w:r>
        <w:rPr>
          <w:rFonts w:ascii="Times New Roman" w:hAnsi="Times New Roman" w:cs="Times New Roman"/>
          <w:color w:val="000000"/>
        </w:rPr>
        <w:t>Opu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</w:rPr>
        <w:t>J</w:t>
      </w:r>
      <w:proofErr w:type="gramEnd"/>
      <w:r>
        <w:rPr>
          <w:rFonts w:ascii="Times New Roman" w:hAnsi="Times New Roman" w:cs="Times New Roman"/>
          <w:color w:val="000000"/>
        </w:rPr>
        <w:t>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reached the same conclusion without referring to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respectfully agree with the conclusions and comment of </w:t>
      </w:r>
      <w:proofErr w:type="spellStart"/>
      <w:r>
        <w:rPr>
          <w:rFonts w:ascii="Times New Roman" w:hAnsi="Times New Roman" w:cs="Times New Roman"/>
          <w:color w:val="000000"/>
        </w:rPr>
        <w:t>Phadke</w:t>
      </w:r>
      <w:proofErr w:type="spellEnd"/>
      <w:r>
        <w:rPr>
          <w:rFonts w:ascii="Times New Roman" w:hAnsi="Times New Roman" w:cs="Times New Roman"/>
          <w:color w:val="000000"/>
        </w:rPr>
        <w:t>, J. as stated above. In the end 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preferred to follow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Gohil’s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and particularly the principles enunciated by Mahon, J.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Labhuben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0B66D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Jivraj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cited therein, whose facts were similar to those raised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Kangave’s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That was not the first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that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Gohil’s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had been followed with approval in this country. </w:t>
      </w:r>
      <w:proofErr w:type="spellStart"/>
      <w:r>
        <w:rPr>
          <w:rFonts w:ascii="Times New Roman" w:hAnsi="Times New Roman" w:cs="Times New Roman"/>
          <w:color w:val="000000"/>
        </w:rPr>
        <w:t>Fuad</w:t>
      </w:r>
      <w:proofErr w:type="spellEnd"/>
      <w:r>
        <w:rPr>
          <w:rFonts w:ascii="Times New Roman" w:hAnsi="Times New Roman" w:cs="Times New Roman"/>
          <w:color w:val="000000"/>
        </w:rPr>
        <w:t xml:space="preserve">, J., followed it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Dritoo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</w:t>
      </w:r>
      <w:r w:rsidR="000B66D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West Nile District Administration, </w:t>
      </w:r>
      <w:r>
        <w:rPr>
          <w:rFonts w:ascii="Times New Roman" w:hAnsi="Times New Roman" w:cs="Times New Roman"/>
          <w:color w:val="000000"/>
        </w:rPr>
        <w:t>[1968] E.A. 428 where the plaintiff was wrongfully arrested, detained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assaulted by the defendant’s chief of police, one Mr. </w:t>
      </w:r>
      <w:proofErr w:type="spellStart"/>
      <w:r>
        <w:rPr>
          <w:rFonts w:ascii="Times New Roman" w:hAnsi="Times New Roman" w:cs="Times New Roman"/>
          <w:color w:val="000000"/>
        </w:rPr>
        <w:t>Angila</w:t>
      </w:r>
      <w:proofErr w:type="spellEnd"/>
      <w:r>
        <w:rPr>
          <w:rFonts w:ascii="Times New Roman" w:hAnsi="Times New Roman" w:cs="Times New Roman"/>
          <w:color w:val="000000"/>
        </w:rPr>
        <w:t xml:space="preserve"> and other policemen in the employment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defendant. The plaint did not contain an averment that these policemen were acting in the course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their employment. This omission was relied upon by the defendant as a preliminary point that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 raised no issue between the plaintiff and the defendant. In overruling this objection, </w:t>
      </w:r>
      <w:proofErr w:type="spellStart"/>
      <w:r>
        <w:rPr>
          <w:rFonts w:ascii="Times New Roman" w:hAnsi="Times New Roman" w:cs="Times New Roman"/>
          <w:color w:val="000000"/>
        </w:rPr>
        <w:t>Fuad</w:t>
      </w:r>
      <w:proofErr w:type="spellEnd"/>
      <w:r>
        <w:rPr>
          <w:rFonts w:ascii="Times New Roman" w:hAnsi="Times New Roman" w:cs="Times New Roman"/>
          <w:color w:val="000000"/>
        </w:rPr>
        <w:t>, J. said: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“I respectfully agree with the judgment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Crawshaw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J. (as he then was) 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Commissioner of Transport v.</w:t>
      </w:r>
      <w:r w:rsidR="000B66D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T. R.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Gohil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[1959] E.A. 936, where he overruled an objection to pleadings that merely stated that the driver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the servant of the defendant, and I do not think it is necessary to set out his reasons. The reasoning of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Crawshaw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J. was adopted by Murphy, J. in another Tanganyika case,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Yakobo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v. Tanganyika Contractors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[1963] E.A. 261. I was of the opinion that Mr. Clerk’s other point was prematurely raised, and a decision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thereon should be postponed until the final determination of the case, after all the evidence had been heard.”</w:t>
      </w:r>
      <w:r w:rsidR="000B66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unfortunate that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Dritoo’s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was not considered in any of the previous four decisions of this Court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upon which Mr. 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relies. In the final analysis, the question really is to choose between the two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alternatives, that is, the more literal and rigid interpretation or the more liberal one which seems to be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present trend. I am inclined to the view that the reasoning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Gohil’s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and particularly the extract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judgment of Mahon, J., therein cited, is of general application in such cases and it does not seem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offend against the observations of Spry, V.-P.,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Auto Garage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Motokov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(No. 3) at p.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519. It follows therefore, and I so find, that it is sufficient to plead, as has been done here, that the person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responsible for pushing the plaintiff out of the moving train was a servant of the defendant.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presumption then arises that the defendant is responsible for any negligence on the part of his servant.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must be so is due to the operation of the doctrine of vicarious liability which, in the words of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Lord Denning, M.R.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Launchbury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Morgans</w:t>
      </w:r>
      <w:proofErr w:type="spellEnd"/>
      <w:r>
        <w:rPr>
          <w:rFonts w:ascii="Times New Roman" w:hAnsi="Times New Roman" w:cs="Times New Roman"/>
          <w:color w:val="000000"/>
        </w:rPr>
        <w:t>, [1971] 2 Q.B. 245, means that “one person takes the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place of another so far as liability is concerned”. If the servant was not acting in the course of his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employment, this would absolve the defendant from liability, but this fact must surely be pleaded, as has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done by the defendant as a ground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Gohil’s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reasons, I am not persuaded that the plaint, as it stands, does not disclose a cause of action. I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 that it sufficiently discloses a cause of action. The application to reject the plaint is therefore</w:t>
      </w:r>
      <w:r w:rsidR="000B66D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 with costs to the plaintiff.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lastRenderedPageBreak/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FB1C0E" w:rsidRDefault="00FB1C0E" w:rsidP="00FB1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Kawanja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Kasule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p w:rsidR="003278A0" w:rsidRDefault="00FB1C0E" w:rsidP="00FB1C0E">
      <w:r>
        <w:rPr>
          <w:rFonts w:ascii="Times New Roman" w:hAnsi="Times New Roman" w:cs="Times New Roman"/>
          <w:color w:val="000000"/>
        </w:rPr>
        <w:t>For the respondent: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0E"/>
    <w:rsid w:val="000B66D3"/>
    <w:rsid w:val="003278A0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ACF97-FF13-4997-A90A-6AB1EF83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1539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2018-07-06T12:05:00Z</dcterms:created>
  <dcterms:modified xsi:type="dcterms:W3CDTF">2018-07-13T17:30:00Z</dcterms:modified>
</cp:coreProperties>
</file>