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Nyambura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119/05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Charge of robbery with violence – Whether failure to indicate accused armed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with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dangerous weapon fundamental.</w:t>
      </w:r>
    </w:p>
    <w:p w:rsidR="005B4F6D" w:rsidRDefault="00263256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B4F6D">
        <w:rPr>
          <w:rFonts w:ascii="Times New Roman" w:hAnsi="Times New Roman" w:cs="Times New Roman"/>
          <w:i/>
          <w:iCs/>
          <w:color w:val="000000"/>
        </w:rPr>
        <w:t>[2] Evidence – Number of witnesses required to convict – Whether the court can convict based on the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only one witness – Need for court to warn itself before convicting on one witness’ evidence.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63256" w:rsidRDefault="005B4F6D" w:rsidP="0026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is a second appeal against the conviction of the appellant for the offence of robbery with violence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 296(2) of the Penal Code. The issue at appeal was identification of the accused by a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single witness. There were also other complaints relating to the failure to consider the appellant’s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a defect in the charge sheet by omitting to state that the appellant was armed with a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dangerous weapon.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 was able to positively identify the appellant as his assailant. Counsel for the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however argued that the two courts made an error of law in finding that the identification of the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single witness was free from error. He contended that there was no report made to the police by the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 about the injuries the appellant had suffered and yet he purported to testify that the appellant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 gap in his mouth. There was no evidence from a doctor to confirm that the appellant had such a gap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it was sustained in the beating during the robbery. There was no exhibit of any jacket to support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finding that the appellant wore the same bloodied jacket which helped the complainant identify him.</w:t>
      </w:r>
      <w:r w:rsidR="00263256">
        <w:rPr>
          <w:rFonts w:ascii="Times New Roman" w:hAnsi="Times New Roman" w:cs="Times New Roman"/>
          <w:color w:val="000000"/>
        </w:rPr>
        <w:t xml:space="preserve"> </w:t>
      </w:r>
    </w:p>
    <w:p w:rsidR="00263256" w:rsidRDefault="00263256" w:rsidP="0026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B4F6D" w:rsidRDefault="005B4F6D" w:rsidP="0026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is trite and lawful for a court to convict on the evidence of a single witness. Indeed there is no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of witnesses required to prove any fact and section 143 of the Evidence Act expressly so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provides.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general principle of law, whether a witness should be called by the prosecution is a matter within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discretion and an appeal court will not interfere with the exercise of that discretion unless, for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example, it is shown that the prosecution was influenced by some oblique motive. The Superior Court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that there was no oblique motive in the prosecution’s failure to produce other witnesses from the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group of motorists and the mob which attacked the appellant on the two occasions narrated by the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s/o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Daitayi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 </w:t>
      </w:r>
      <w:r>
        <w:rPr>
          <w:rFonts w:ascii="Times New Roman" w:hAnsi="Times New Roman" w:cs="Times New Roman"/>
          <w:color w:val="000000"/>
        </w:rPr>
        <w:t>(1950) 23 EACA 493 applied).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requires that in relying on a single witness to convict, the evidence of identification must be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weighed with the greatest care and the court must satisfy itself that in all the circumstances it is safe to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 on such identification, particularly where the conditions </w:t>
      </w:r>
      <w:proofErr w:type="spellStart"/>
      <w:r>
        <w:rPr>
          <w:rFonts w:ascii="Times New Roman" w:hAnsi="Times New Roman" w:cs="Times New Roman"/>
          <w:color w:val="000000"/>
        </w:rPr>
        <w:t>favouring</w:t>
      </w:r>
      <w:proofErr w:type="spellEnd"/>
      <w:r>
        <w:rPr>
          <w:rFonts w:ascii="Times New Roman" w:hAnsi="Times New Roman" w:cs="Times New Roman"/>
          <w:color w:val="000000"/>
        </w:rPr>
        <w:t xml:space="preserve"> a correct identification are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difficult.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courts below were alive to the dangers of relying on the evidence of a single witness on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identification. The trial magistrate particularly clearly warned herself and examined the </w:t>
      </w:r>
      <w:proofErr w:type="spellStart"/>
      <w:r>
        <w:rPr>
          <w:rFonts w:ascii="Times New Roman" w:hAnsi="Times New Roman" w:cs="Times New Roman"/>
          <w:color w:val="000000"/>
        </w:rPr>
        <w:t>demeanour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credibility of the complainant before examining other factors </w:t>
      </w:r>
      <w:proofErr w:type="spellStart"/>
      <w:r>
        <w:rPr>
          <w:rFonts w:ascii="Times New Roman" w:hAnsi="Times New Roman" w:cs="Times New Roman"/>
          <w:color w:val="000000"/>
        </w:rPr>
        <w:t>favouring</w:t>
      </w:r>
      <w:proofErr w:type="spellEnd"/>
      <w:r>
        <w:rPr>
          <w:rFonts w:ascii="Times New Roman" w:hAnsi="Times New Roman" w:cs="Times New Roman"/>
          <w:color w:val="000000"/>
        </w:rPr>
        <w:t xml:space="preserve"> correct identification and was the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best judge of this examination. Thus, the court was satisfied that there was no error. (</w:t>
      </w:r>
      <w:r>
        <w:rPr>
          <w:rFonts w:ascii="Times New Roman" w:hAnsi="Times New Roman" w:cs="Times New Roman"/>
          <w:i/>
          <w:iCs/>
          <w:color w:val="000000"/>
        </w:rPr>
        <w:t>Peters v Sunday</w:t>
      </w:r>
      <w:r w:rsidR="0026325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Post </w:t>
      </w:r>
      <w:r>
        <w:rPr>
          <w:rFonts w:ascii="Times New Roman" w:hAnsi="Times New Roman" w:cs="Times New Roman"/>
          <w:color w:val="000000"/>
        </w:rPr>
        <w:t>[1958] EA 424 followed).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put forward by the appellant was displaced by the prosecution evidence which was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as truthful. It may appear however that in stating as she did that the appellant did not call his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brother or the woman they disagreed on as witnesses and further that he did not produce medical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to support the allegations of injury the trial magistrate may unwittingly have been shifting the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burden of proof which in law never shifts, to the appellant.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Superior Court made no reference to those statements. It seems they were made in the context of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assessing the credibility of the appellant which was found wanting. The law, at any rate, allows shifting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evidential burden where any fact is especially within the knowledge of the accused person. That is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11 of the Evidence Act.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state in the charge sheet that the appellant was armed with a dangerous weapon did not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the charge sheet irregular. In any event, in view of the provisions of section 382 of the Criminal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Code, no prejudice was caused to the appellant.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[2003] 2 EA 471</w:t>
      </w:r>
      <w:r w:rsidR="002632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distinguished;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Moneni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Ngumbao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criminal appeal number 141 of 2005 (UR); </w:t>
      </w:r>
      <w:r>
        <w:rPr>
          <w:rFonts w:ascii="Times New Roman" w:hAnsi="Times New Roman" w:cs="Times New Roman"/>
          <w:i/>
          <w:iCs/>
          <w:color w:val="000000"/>
        </w:rPr>
        <w:t xml:space="preserve">Johana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26325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 </w:t>
      </w:r>
      <w:r>
        <w:rPr>
          <w:rFonts w:ascii="Times New Roman" w:hAnsi="Times New Roman" w:cs="Times New Roman"/>
          <w:color w:val="000000"/>
        </w:rPr>
        <w:t>criminal appeal number 116 of 1995 (UR) applied).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[2003] 2 EA 471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Maitanyi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2 KAR 75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Moneni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Ngumbao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criminal appeal number 141 of 2005 (UR)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Ndungu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criminal appeal number 116 of 1995 (UR)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Oloo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s/o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Daitayi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 </w:t>
      </w:r>
      <w:r>
        <w:rPr>
          <w:rFonts w:ascii="Times New Roman" w:hAnsi="Times New Roman" w:cs="Times New Roman"/>
          <w:color w:val="000000"/>
        </w:rPr>
        <w:t xml:space="preserve">(1950) 23 EACA 493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Opoya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</w:t>
      </w:r>
      <w:r>
        <w:rPr>
          <w:rFonts w:ascii="Times New Roman" w:hAnsi="Times New Roman" w:cs="Times New Roman"/>
          <w:color w:val="000000"/>
        </w:rPr>
        <w:t>anda [1967] EA 752</w:t>
      </w:r>
    </w:p>
    <w:p w:rsidR="005B4F6D" w:rsidRDefault="005B4F6D" w:rsidP="005B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Peters v Sunday Post </w:t>
      </w:r>
      <w:r>
        <w:rPr>
          <w:rFonts w:ascii="Times New Roman" w:hAnsi="Times New Roman" w:cs="Times New Roman"/>
          <w:color w:val="000000"/>
        </w:rPr>
        <w:t xml:space="preserve">[1958] EA 424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B7022" w:rsidRDefault="005B4F6D" w:rsidP="005B4F6D">
      <w:proofErr w:type="spellStart"/>
      <w:r>
        <w:rPr>
          <w:rFonts w:ascii="Times New Roman" w:hAnsi="Times New Roman" w:cs="Times New Roman"/>
          <w:i/>
          <w:iCs/>
          <w:color w:val="000000"/>
        </w:rPr>
        <w:t>Roria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6D"/>
    <w:rsid w:val="00263256"/>
    <w:rsid w:val="005B4F6D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7C9E-E66D-4CA3-947A-B3AEEE85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2018-07-05T07:00:00Z</dcterms:created>
  <dcterms:modified xsi:type="dcterms:W3CDTF">2018-07-13T17:31:00Z</dcterms:modified>
</cp:coreProperties>
</file>