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DEA" w:rsidRDefault="00FA3DEA" w:rsidP="00FA3D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Nyambura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FA3DEA" w:rsidRDefault="00FA3DEA" w:rsidP="00FA3D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FA3DEA" w:rsidRDefault="00FA3DEA" w:rsidP="00FA3D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November 2006</w:t>
      </w:r>
    </w:p>
    <w:p w:rsidR="00FA3DEA" w:rsidRDefault="00FA3DEA" w:rsidP="00FA3D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119/05</w:t>
      </w:r>
    </w:p>
    <w:p w:rsidR="00FA3DEA" w:rsidRDefault="00FA3DEA" w:rsidP="00FA3D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FA3DEA" w:rsidRDefault="00FA3DEA" w:rsidP="00FA3D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A3DEA" w:rsidRDefault="00FA3DEA" w:rsidP="00FA3D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FA3DEA" w:rsidRDefault="00FA3DEA" w:rsidP="00FA3D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FA3DEA" w:rsidRDefault="00FA3DEA" w:rsidP="00FA3D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procedure – Charge of robbery with violence – Whether failure to indicate accused armed</w:t>
      </w:r>
    </w:p>
    <w:p w:rsidR="00FA3DEA" w:rsidRDefault="00FA3DEA" w:rsidP="00FA3D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with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 dangerous weapon fundamental.</w:t>
      </w:r>
    </w:p>
    <w:p w:rsidR="00FA3DEA" w:rsidRDefault="000A0F00" w:rsidP="00FA3D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FA3DEA">
        <w:rPr>
          <w:rFonts w:ascii="Times New Roman" w:hAnsi="Times New Roman" w:cs="Times New Roman"/>
          <w:i/>
          <w:iCs/>
          <w:color w:val="000000"/>
        </w:rPr>
        <w:t>[2] Evidence – Number of witnesses required to convict – Whether the court can convict based on the</w:t>
      </w:r>
    </w:p>
    <w:p w:rsidR="00FA3DEA" w:rsidRDefault="00FA3DEA" w:rsidP="00FA3D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evidence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only one witness – Need for court to warn itself before convicting on one witness’ evidence.</w:t>
      </w:r>
    </w:p>
    <w:p w:rsidR="00FA3DEA" w:rsidRDefault="000A0F00" w:rsidP="00FA3D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A3DEA" w:rsidRDefault="00FA3DEA" w:rsidP="000A0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Waki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Deverell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>This is a second appeal against the conviction of the appellant for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offence of robbery with violence contrary to section 296(2) of the Penal Code. It had been alleged in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charge laid before </w:t>
      </w:r>
      <w:proofErr w:type="spellStart"/>
      <w:r>
        <w:rPr>
          <w:rFonts w:ascii="Times New Roman" w:hAnsi="Times New Roman" w:cs="Times New Roman"/>
          <w:color w:val="000000"/>
        </w:rPr>
        <w:t>Kibera</w:t>
      </w:r>
      <w:proofErr w:type="spellEnd"/>
      <w:r>
        <w:rPr>
          <w:rFonts w:ascii="Times New Roman" w:hAnsi="Times New Roman" w:cs="Times New Roman"/>
          <w:color w:val="000000"/>
        </w:rPr>
        <w:t xml:space="preserve"> Senior Resident Magistrate that the appellant did on the 7 February 2001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along </w:t>
      </w:r>
      <w:proofErr w:type="spellStart"/>
      <w:r>
        <w:rPr>
          <w:rFonts w:ascii="Times New Roman" w:hAnsi="Times New Roman" w:cs="Times New Roman"/>
          <w:color w:val="000000"/>
        </w:rPr>
        <w:t>Ngong</w:t>
      </w:r>
      <w:proofErr w:type="spellEnd"/>
      <w:r>
        <w:rPr>
          <w:rFonts w:ascii="Times New Roman" w:hAnsi="Times New Roman" w:cs="Times New Roman"/>
          <w:color w:val="000000"/>
        </w:rPr>
        <w:t xml:space="preserve"> road in Nairobi, jointly with others not before the court, rob Alfred </w:t>
      </w:r>
      <w:proofErr w:type="spellStart"/>
      <w:r>
        <w:rPr>
          <w:rFonts w:ascii="Times New Roman" w:hAnsi="Times New Roman" w:cs="Times New Roman"/>
          <w:color w:val="000000"/>
        </w:rPr>
        <w:t>Atsiaya</w:t>
      </w:r>
      <w:proofErr w:type="spellEnd"/>
      <w:r>
        <w:rPr>
          <w:rFonts w:ascii="Times New Roman" w:hAnsi="Times New Roman" w:cs="Times New Roman"/>
          <w:color w:val="000000"/>
        </w:rPr>
        <w:t xml:space="preserve"> one bicycle, one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pair of shoes, one wrist watch and cash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1000 all valued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7 300 and at or immediately before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 immediately after such robbery used personal violence on the said Alfred </w:t>
      </w:r>
      <w:proofErr w:type="spellStart"/>
      <w:r>
        <w:rPr>
          <w:rFonts w:ascii="Times New Roman" w:hAnsi="Times New Roman" w:cs="Times New Roman"/>
          <w:color w:val="000000"/>
        </w:rPr>
        <w:t>Atsiaya</w:t>
      </w:r>
      <w:proofErr w:type="spellEnd"/>
      <w:r>
        <w:rPr>
          <w:rFonts w:ascii="Times New Roman" w:hAnsi="Times New Roman" w:cs="Times New Roman"/>
          <w:color w:val="000000"/>
        </w:rPr>
        <w:t>. Upon his conviction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sentenced to death which is the only lawful sentence for the offence.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before us can only be on a matter of law as provided under section 362 of the Criminal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Procedure Code. It turns on one main issue argued by learned Counsel for the appellant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Wamwayi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is: identification by a single witness. There were also other complaints relating to the failure to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 the appellant’s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; and defects in the charge sheet. These grounds will be examined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presently; but first, the concurrent findings of fact made by the courts below upon consideration of the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tendered by three prosecution witnesses and the appellant.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about 7:30pm on 7 February 2001, Alfred </w:t>
      </w:r>
      <w:proofErr w:type="spellStart"/>
      <w:r>
        <w:rPr>
          <w:rFonts w:ascii="Times New Roman" w:hAnsi="Times New Roman" w:cs="Times New Roman"/>
          <w:color w:val="000000"/>
        </w:rPr>
        <w:t>Atsiaya</w:t>
      </w:r>
      <w:proofErr w:type="spellEnd"/>
      <w:r>
        <w:rPr>
          <w:rFonts w:ascii="Times New Roman" w:hAnsi="Times New Roman" w:cs="Times New Roman"/>
          <w:color w:val="000000"/>
        </w:rPr>
        <w:t xml:space="preserve"> (PW1) (</w:t>
      </w:r>
      <w:proofErr w:type="spellStart"/>
      <w:r>
        <w:rPr>
          <w:rFonts w:ascii="Times New Roman" w:hAnsi="Times New Roman" w:cs="Times New Roman"/>
          <w:color w:val="000000"/>
        </w:rPr>
        <w:t>Atsiaya</w:t>
      </w:r>
      <w:proofErr w:type="spellEnd"/>
      <w:r>
        <w:rPr>
          <w:rFonts w:ascii="Times New Roman" w:hAnsi="Times New Roman" w:cs="Times New Roman"/>
          <w:color w:val="000000"/>
        </w:rPr>
        <w:t xml:space="preserve">) was cycling along </w:t>
      </w:r>
      <w:proofErr w:type="spellStart"/>
      <w:r>
        <w:rPr>
          <w:rFonts w:ascii="Times New Roman" w:hAnsi="Times New Roman" w:cs="Times New Roman"/>
          <w:color w:val="000000"/>
        </w:rPr>
        <w:t>Ngong</w:t>
      </w:r>
      <w:proofErr w:type="spellEnd"/>
      <w:r>
        <w:rPr>
          <w:rFonts w:ascii="Times New Roman" w:hAnsi="Times New Roman" w:cs="Times New Roman"/>
          <w:color w:val="000000"/>
        </w:rPr>
        <w:t xml:space="preserve"> road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heading to his home area, </w:t>
      </w:r>
      <w:proofErr w:type="spellStart"/>
      <w:r>
        <w:rPr>
          <w:rFonts w:ascii="Times New Roman" w:hAnsi="Times New Roman" w:cs="Times New Roman"/>
          <w:color w:val="000000"/>
        </w:rPr>
        <w:t>Riruta</w:t>
      </w:r>
      <w:proofErr w:type="spellEnd"/>
      <w:r>
        <w:rPr>
          <w:rFonts w:ascii="Times New Roman" w:hAnsi="Times New Roman" w:cs="Times New Roman"/>
          <w:color w:val="000000"/>
        </w:rPr>
        <w:t xml:space="preserve"> Satellite. Suddenly, at a point on the said road, a person grabbed him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violently pushed him off the road and he fell into a ditch. The person then followed him wielding a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knife and grabbed him by the shirt. He ordered him to keep quiet. Two other men then joined the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assailant and one of them took away the bicycle and disappeared with it. The other man removed his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shoes and wrist watch and also stole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1 000 from his trousers. The second man followed the man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who had taken the bicycle. </w:t>
      </w:r>
      <w:proofErr w:type="spellStart"/>
      <w:r>
        <w:rPr>
          <w:rFonts w:ascii="Times New Roman" w:hAnsi="Times New Roman" w:cs="Times New Roman"/>
          <w:color w:val="000000"/>
        </w:rPr>
        <w:t>Atsiaya</w:t>
      </w:r>
      <w:proofErr w:type="spellEnd"/>
      <w:r>
        <w:rPr>
          <w:rFonts w:ascii="Times New Roman" w:hAnsi="Times New Roman" w:cs="Times New Roman"/>
          <w:color w:val="000000"/>
        </w:rPr>
        <w:t xml:space="preserve"> was left with the knife-wielding man who demanded more money but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Atsiaya</w:t>
      </w:r>
      <w:proofErr w:type="spellEnd"/>
      <w:r>
        <w:rPr>
          <w:rFonts w:ascii="Times New Roman" w:hAnsi="Times New Roman" w:cs="Times New Roman"/>
          <w:color w:val="000000"/>
        </w:rPr>
        <w:t xml:space="preserve"> said he had none. The assailant then set upon him and repeatedly stabbed him on his chest, arm,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ear and arms as </w:t>
      </w:r>
      <w:proofErr w:type="spellStart"/>
      <w:r>
        <w:rPr>
          <w:rFonts w:ascii="Times New Roman" w:hAnsi="Times New Roman" w:cs="Times New Roman"/>
          <w:color w:val="000000"/>
        </w:rPr>
        <w:t>Astiaya</w:t>
      </w:r>
      <w:proofErr w:type="spellEnd"/>
      <w:r>
        <w:rPr>
          <w:rFonts w:ascii="Times New Roman" w:hAnsi="Times New Roman" w:cs="Times New Roman"/>
          <w:color w:val="000000"/>
        </w:rPr>
        <w:t xml:space="preserve"> screamed for mercy. When he stopped screaming, the assailant left him in the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ditch and walked towards </w:t>
      </w:r>
      <w:proofErr w:type="spellStart"/>
      <w:r>
        <w:rPr>
          <w:rFonts w:ascii="Times New Roman" w:hAnsi="Times New Roman" w:cs="Times New Roman"/>
          <w:color w:val="000000"/>
        </w:rPr>
        <w:t>Kibera</w:t>
      </w:r>
      <w:proofErr w:type="spellEnd"/>
      <w:r>
        <w:rPr>
          <w:rFonts w:ascii="Times New Roman" w:hAnsi="Times New Roman" w:cs="Times New Roman"/>
          <w:color w:val="000000"/>
        </w:rPr>
        <w:t xml:space="preserve"> direction. </w:t>
      </w:r>
      <w:proofErr w:type="spellStart"/>
      <w:r>
        <w:rPr>
          <w:rFonts w:ascii="Times New Roman" w:hAnsi="Times New Roman" w:cs="Times New Roman"/>
          <w:color w:val="000000"/>
        </w:rPr>
        <w:t>Atsiaya</w:t>
      </w:r>
      <w:proofErr w:type="spellEnd"/>
      <w:r>
        <w:rPr>
          <w:rFonts w:ascii="Times New Roman" w:hAnsi="Times New Roman" w:cs="Times New Roman"/>
          <w:color w:val="000000"/>
        </w:rPr>
        <w:t xml:space="preserve"> then got up from the ditch and started screaming for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help. On hearing the screams, the assailant returned wielding the same knife and started chasing </w:t>
      </w:r>
      <w:proofErr w:type="spellStart"/>
      <w:r>
        <w:rPr>
          <w:rFonts w:ascii="Times New Roman" w:hAnsi="Times New Roman" w:cs="Times New Roman"/>
          <w:color w:val="000000"/>
        </w:rPr>
        <w:t>Atsiaya</w:t>
      </w:r>
      <w:proofErr w:type="spellEnd"/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ran towards Adams Arcade. He felt weak however and so the assailant caught up with him and they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started struggling in the middle of the road. Several motorists then came along hooting and flashing their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full lights. They stopped and grabbed the assailant beating him senseless and left him for dead. The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whole incident took about one hour. </w:t>
      </w:r>
      <w:proofErr w:type="spellStart"/>
      <w:r>
        <w:rPr>
          <w:rFonts w:ascii="Times New Roman" w:hAnsi="Times New Roman" w:cs="Times New Roman"/>
          <w:color w:val="000000"/>
        </w:rPr>
        <w:t>Atsiaya</w:t>
      </w:r>
      <w:proofErr w:type="spellEnd"/>
      <w:r>
        <w:rPr>
          <w:rFonts w:ascii="Times New Roman" w:hAnsi="Times New Roman" w:cs="Times New Roman"/>
          <w:color w:val="000000"/>
        </w:rPr>
        <w:t xml:space="preserve"> then called the police from a telephone booth in Adams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Arcade and the police arrived within five minutes. When they reached the spot where the assailant was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left lying, he was gone! </w:t>
      </w:r>
      <w:proofErr w:type="spellStart"/>
      <w:r>
        <w:rPr>
          <w:rFonts w:ascii="Times New Roman" w:hAnsi="Times New Roman" w:cs="Times New Roman"/>
          <w:color w:val="000000"/>
        </w:rPr>
        <w:t>Atsiaya</w:t>
      </w:r>
      <w:proofErr w:type="spellEnd"/>
      <w:r>
        <w:rPr>
          <w:rFonts w:ascii="Times New Roman" w:hAnsi="Times New Roman" w:cs="Times New Roman"/>
          <w:color w:val="000000"/>
        </w:rPr>
        <w:t xml:space="preserve"> was taken for treatment and he recorded his statement with the police.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injuries he suffered were confirmed by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Zephania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 xml:space="preserve"> (PW3).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Five days later on 12 February 2001, </w:t>
      </w:r>
      <w:proofErr w:type="spellStart"/>
      <w:r>
        <w:rPr>
          <w:rFonts w:ascii="Times New Roman" w:hAnsi="Times New Roman" w:cs="Times New Roman"/>
          <w:color w:val="000000"/>
        </w:rPr>
        <w:t>Atsiaya</w:t>
      </w:r>
      <w:proofErr w:type="spellEnd"/>
      <w:r>
        <w:rPr>
          <w:rFonts w:ascii="Times New Roman" w:hAnsi="Times New Roman" w:cs="Times New Roman"/>
          <w:color w:val="000000"/>
        </w:rPr>
        <w:t xml:space="preserve"> was in a motor vehicle on </w:t>
      </w:r>
      <w:proofErr w:type="spellStart"/>
      <w:r>
        <w:rPr>
          <w:rFonts w:ascii="Times New Roman" w:hAnsi="Times New Roman" w:cs="Times New Roman"/>
          <w:color w:val="000000"/>
        </w:rPr>
        <w:t>Naivasha</w:t>
      </w:r>
      <w:proofErr w:type="spellEnd"/>
      <w:r>
        <w:rPr>
          <w:rFonts w:ascii="Times New Roman" w:hAnsi="Times New Roman" w:cs="Times New Roman"/>
          <w:color w:val="000000"/>
        </w:rPr>
        <w:t xml:space="preserve"> road when, at a bus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stage in </w:t>
      </w:r>
      <w:proofErr w:type="spellStart"/>
      <w:r>
        <w:rPr>
          <w:rFonts w:ascii="Times New Roman" w:hAnsi="Times New Roman" w:cs="Times New Roman"/>
          <w:color w:val="000000"/>
        </w:rPr>
        <w:t>Kawangware</w:t>
      </w:r>
      <w:proofErr w:type="spellEnd"/>
      <w:r>
        <w:rPr>
          <w:rFonts w:ascii="Times New Roman" w:hAnsi="Times New Roman" w:cs="Times New Roman"/>
          <w:color w:val="000000"/>
        </w:rPr>
        <w:t xml:space="preserve"> area, he saw the man who had assaulted him. The man was standing at a bus stop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so </w:t>
      </w:r>
      <w:proofErr w:type="spellStart"/>
      <w:r>
        <w:rPr>
          <w:rFonts w:ascii="Times New Roman" w:hAnsi="Times New Roman" w:cs="Times New Roman"/>
          <w:color w:val="000000"/>
        </w:rPr>
        <w:t>Atsiaya</w:t>
      </w:r>
      <w:proofErr w:type="spellEnd"/>
      <w:r>
        <w:rPr>
          <w:rFonts w:ascii="Times New Roman" w:hAnsi="Times New Roman" w:cs="Times New Roman"/>
          <w:color w:val="000000"/>
        </w:rPr>
        <w:t xml:space="preserve"> alighted from the vehicle and went to talk to him. The man had fresh marks on his face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mouth which was still swollen. He wore the same white jacket he wore five days earlier. </w:t>
      </w:r>
      <w:proofErr w:type="spellStart"/>
      <w:r>
        <w:rPr>
          <w:rFonts w:ascii="Times New Roman" w:hAnsi="Times New Roman" w:cs="Times New Roman"/>
          <w:color w:val="000000"/>
        </w:rPr>
        <w:t>Atsiaya</w:t>
      </w:r>
      <w:proofErr w:type="spellEnd"/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asked him how he suffered the injuries and the man said he had an accident at Adams Arcade. When he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told about the robbery at the same place however, and that he had stabbed </w:t>
      </w:r>
      <w:proofErr w:type="spellStart"/>
      <w:r>
        <w:rPr>
          <w:rFonts w:ascii="Times New Roman" w:hAnsi="Times New Roman" w:cs="Times New Roman"/>
          <w:color w:val="000000"/>
        </w:rPr>
        <w:t>Atsiaya</w:t>
      </w:r>
      <w:proofErr w:type="spellEnd"/>
      <w:r>
        <w:rPr>
          <w:rFonts w:ascii="Times New Roman" w:hAnsi="Times New Roman" w:cs="Times New Roman"/>
          <w:color w:val="000000"/>
        </w:rPr>
        <w:t xml:space="preserve"> with a knife, the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man started running away but </w:t>
      </w:r>
      <w:proofErr w:type="spellStart"/>
      <w:r>
        <w:rPr>
          <w:rFonts w:ascii="Times New Roman" w:hAnsi="Times New Roman" w:cs="Times New Roman"/>
          <w:color w:val="000000"/>
        </w:rPr>
        <w:t>Atsiaya</w:t>
      </w:r>
      <w:proofErr w:type="spellEnd"/>
      <w:r>
        <w:rPr>
          <w:rFonts w:ascii="Times New Roman" w:hAnsi="Times New Roman" w:cs="Times New Roman"/>
          <w:color w:val="000000"/>
        </w:rPr>
        <w:t xml:space="preserve"> grabbed him and called for help. Members of the public responded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held the man as </w:t>
      </w:r>
      <w:proofErr w:type="spellStart"/>
      <w:r>
        <w:rPr>
          <w:rFonts w:ascii="Times New Roman" w:hAnsi="Times New Roman" w:cs="Times New Roman"/>
          <w:color w:val="000000"/>
        </w:rPr>
        <w:t>Atsiaya</w:t>
      </w:r>
      <w:proofErr w:type="spellEnd"/>
      <w:r>
        <w:rPr>
          <w:rFonts w:ascii="Times New Roman" w:hAnsi="Times New Roman" w:cs="Times New Roman"/>
          <w:color w:val="000000"/>
        </w:rPr>
        <w:t xml:space="preserve"> went to call the police. When he returned the man had </w:t>
      </w:r>
      <w:r>
        <w:rPr>
          <w:rFonts w:ascii="Times New Roman" w:hAnsi="Times New Roman" w:cs="Times New Roman"/>
          <w:color w:val="000000"/>
        </w:rPr>
        <w:lastRenderedPageBreak/>
        <w:t>been beaten senseless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members of the public and he lay there unconscious. The police took him to hospital for treatment and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later charged him with the offence of robbery with violence. That man was the appellant now before us.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appellant said he was severely beaten up by his brother on 12 February 2001 when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they disagreed on a certain woman. He was at the bus stop when </w:t>
      </w:r>
      <w:proofErr w:type="spellStart"/>
      <w:r>
        <w:rPr>
          <w:rFonts w:ascii="Times New Roman" w:hAnsi="Times New Roman" w:cs="Times New Roman"/>
          <w:color w:val="000000"/>
        </w:rPr>
        <w:t>Atsiaya</w:t>
      </w:r>
      <w:proofErr w:type="spellEnd"/>
      <w:r>
        <w:rPr>
          <w:rFonts w:ascii="Times New Roman" w:hAnsi="Times New Roman" w:cs="Times New Roman"/>
          <w:color w:val="000000"/>
        </w:rPr>
        <w:t xml:space="preserve"> found him waiting for a </w:t>
      </w:r>
      <w:proofErr w:type="spellStart"/>
      <w:r>
        <w:rPr>
          <w:rFonts w:ascii="Times New Roman" w:hAnsi="Times New Roman" w:cs="Times New Roman"/>
          <w:color w:val="000000"/>
        </w:rPr>
        <w:t>matatu</w:t>
      </w:r>
      <w:proofErr w:type="spellEnd"/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take him to hospital. He had a swollen right hand, mouth and left temple and he had told </w:t>
      </w:r>
      <w:proofErr w:type="spellStart"/>
      <w:r>
        <w:rPr>
          <w:rFonts w:ascii="Times New Roman" w:hAnsi="Times New Roman" w:cs="Times New Roman"/>
          <w:color w:val="000000"/>
        </w:rPr>
        <w:t>Atsiaya</w:t>
      </w:r>
      <w:proofErr w:type="spellEnd"/>
      <w:r>
        <w:rPr>
          <w:rFonts w:ascii="Times New Roman" w:hAnsi="Times New Roman" w:cs="Times New Roman"/>
          <w:color w:val="000000"/>
        </w:rPr>
        <w:t xml:space="preserve"> that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had fallen down, before </w:t>
      </w:r>
      <w:proofErr w:type="spellStart"/>
      <w:r>
        <w:rPr>
          <w:rFonts w:ascii="Times New Roman" w:hAnsi="Times New Roman" w:cs="Times New Roman"/>
          <w:color w:val="000000"/>
        </w:rPr>
        <w:t>Atsiaya</w:t>
      </w:r>
      <w:proofErr w:type="spellEnd"/>
      <w:r>
        <w:rPr>
          <w:rFonts w:ascii="Times New Roman" w:hAnsi="Times New Roman" w:cs="Times New Roman"/>
          <w:color w:val="000000"/>
        </w:rPr>
        <w:t xml:space="preserve"> accused him of a robbery he knew nothing about. Some ten drunkards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came along and beat him up until he became unconscious. He came to in Kenyatta National Hospital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he was treated and he was subsequently charged with an offence he did not commit.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learned trial Magistrate was in no doubt that </w:t>
      </w:r>
      <w:proofErr w:type="spellStart"/>
      <w:r>
        <w:rPr>
          <w:rFonts w:ascii="Times New Roman" w:hAnsi="Times New Roman" w:cs="Times New Roman"/>
          <w:color w:val="000000"/>
        </w:rPr>
        <w:t>Atsiaya</w:t>
      </w:r>
      <w:proofErr w:type="spellEnd"/>
      <w:r>
        <w:rPr>
          <w:rFonts w:ascii="Times New Roman" w:hAnsi="Times New Roman" w:cs="Times New Roman"/>
          <w:color w:val="000000"/>
        </w:rPr>
        <w:t xml:space="preserve"> had positively identified the appellant as one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three persons who had robbed him of his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property, and especially the one who had viciously attacked him with a knife. She relied on his sole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to convict the appellant and expressed herself as follows: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my opinion, the length of time the complainant spent in accused’s company – one hour - was adequate for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complainant to carefully study accused’s face. The complainant was very certain as to the role accused played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during the incident. The accused’s face was lit up by the motor vehicles headlights at the scene after motorists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stopped to rescue complainant and beat up the accused. That in my opinion was adequate or sufficient light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enabled complainant clearly see the accused’s face. That is why complainant later on positively identified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accused as one of the robbers. At the time he caused accused to be arrested, he further identified accused by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gap in his gum where the teeth had been dislodged due to the earlier beatings. The court also observed this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gap in accused’s mouth. He further saw the accused’s face was still bruised, a confirmation of the earlier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beating accused received from the motorists. The accused still wore the same blooded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white jacket on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day he was arrested.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 these above facts prove that the complainant could not possibly have mistaken accused to be one of the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robbers.”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issue of identification was raised before the Superior Court as it was before us. That court however,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re-evaluation of the evidence, came to the same conclusion and stated: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perusal of the record shows that the complainant was with the appellant for almost one hour. He says that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during that time, he (the complainant) had ample opportunity to study the face of the appellant. The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complainant also testified, during cross examination, as follows: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You are the one who stabbed me repeatedly. When you were beaten that night, your teeth were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dislodged. I was with you for about an hour, so I had a good chance to see your face. The motor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vehicles headlights lit up the scene on the road and I saw you. I do not know how you escaped from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road where I thought you had almost died, as you appeared unconscious. I stood there on the road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looking at you as you lay there.”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have recited the foregoing piece of evidence at length, as we believe that it illustrates a number of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factors. The complainant was in the company of the appellant for a period of about an hour. By all standards,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is a long period of time, during which if someone was able to see another person, he ought to be able to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identify the said person later. Secondly, the complainant testified that vehicle headlights lit up the scene, thus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enabling the complainant to see the appellant clearly. Thirdly, the complainant saw the appellant being beaten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up, until his teeth were dislodged. To our minds, that observation by the complainant cannot be deemed as an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afterthought. Earlier in his evidence-in-chief, the complainant had already made reference to ‘Fresh marks on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(appellant’s) face and mouth due to the beatings he had received on the fateful night’.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our minds, when the complainant made reference to the fact that the appellant’s teeth were dislodged, by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beatings he got, that is only a question of detail. We do not agree with the appellant that it was an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afterthought.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But perhaps the most telling aspect of the evidence we have recited above is the fact that after the appellant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 been beaten up, he appeared to be unconscious, in the assessment of the complainant. At that time, the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 simply lay there, whilst the complainant stood on the road, looking at him.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light of the foregoing circumstances, we hold the considered opinion that the appellant was positively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identified by the complainant.”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are now told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Wamwayi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two courts below made an error of law in finding, on the facts,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identification of the single witness was free from error. That is because there was no report made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police by the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complainant about the injuries the appellant had suffered and yet, he purported to testify in court that the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had a gap in his mouth. There was no evidence from a doctor to confirm that the appellant had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 gap and that it was sustained in the beating during the robbery. There was also no exhibit of any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jacket to support the finding that the appellant wore the same bloodied jacket which helped the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complainant to identify him.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Wamwayi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submitted that it was necessary for the two courts below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weigh the evidence with the greatest care and to inquire into the circumstances that made it possible to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identify the appellant, for example, the lighting conditions, and the physical features of the appellant. It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matter that the witness was honest, he could have been mistaken. Those were the standards set by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Maitanyi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[1986] 2 KAR 75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Roria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[1967] EA 583.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have anxiously considered this </w:t>
      </w:r>
      <w:r>
        <w:rPr>
          <w:rFonts w:ascii="Times New Roman" w:hAnsi="Times New Roman" w:cs="Times New Roman"/>
          <w:color w:val="000000"/>
        </w:rPr>
        <w:lastRenderedPageBreak/>
        <w:t>ground of appeal particularly because of the gravity of the offence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fact that the appellant’s conviction was based on the evidence of a single witness on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identification. We have nevertheless come to the conclusion that there was no error of law or principle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committed by the courts below in their finding that the appellant was properly identified.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trite, and learned Counsel for the appellant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Wamwayi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submit otherwise, that it is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lawful for a court to convict on the evidence of a single witness. Indeed there is no number of witnesses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 to prove any fact and section 143 of the Evidence Act expressly so provides, thus: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 particular number of witnesses shall in the absence of any provision of law to the contrary be required for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proof of any fact.”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a general principle of law, whether a witness should be called by the prosecution is a matter within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discretion and an appeal court will not interfere with the exercise of that discretion unless, for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example, it is shown that the prosecution was influenced by some oblique motive – 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Oloo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s/o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Daitayi</w:t>
      </w:r>
      <w:proofErr w:type="spellEnd"/>
      <w:r w:rsidR="000A0F0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and others v R </w:t>
      </w:r>
      <w:r>
        <w:rPr>
          <w:rFonts w:ascii="Times New Roman" w:hAnsi="Times New Roman" w:cs="Times New Roman"/>
          <w:color w:val="000000"/>
        </w:rPr>
        <w:t>(1950) 23 EACA 493. The Superior Court in this case was satisfied that there was no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oblique motive in the prosecution’s failure to produce other witnesses from the group of motorists and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mob which attacked the appellant on the two occasions narrated by the complainant. We agree with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finding. Nevertheless,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Wamwayi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correctly submitted, the law requires that in relying on a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single witness to convict, the evidence on identification must be weighed with the greatest care and the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must satisfy itself that in all the circumstances it is safe to act on such identification, particularly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where the conditions </w:t>
      </w:r>
      <w:proofErr w:type="spellStart"/>
      <w:r>
        <w:rPr>
          <w:rFonts w:ascii="Times New Roman" w:hAnsi="Times New Roman" w:cs="Times New Roman"/>
          <w:color w:val="000000"/>
        </w:rPr>
        <w:t>favouring</w:t>
      </w:r>
      <w:proofErr w:type="spellEnd"/>
      <w:r>
        <w:rPr>
          <w:rFonts w:ascii="Times New Roman" w:hAnsi="Times New Roman" w:cs="Times New Roman"/>
          <w:color w:val="000000"/>
        </w:rPr>
        <w:t xml:space="preserve"> a correct identification were difficult.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our perusal of the record we discern that the two courts below were alive to the dangers of relying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evidence of a single witness on identification. The trial magistrate in particular clearly warned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herself and examined the </w:t>
      </w:r>
      <w:proofErr w:type="spellStart"/>
      <w:r>
        <w:rPr>
          <w:rFonts w:ascii="Times New Roman" w:hAnsi="Times New Roman" w:cs="Times New Roman"/>
          <w:color w:val="000000"/>
        </w:rPr>
        <w:t>demeanour</w:t>
      </w:r>
      <w:proofErr w:type="spellEnd"/>
      <w:r>
        <w:rPr>
          <w:rFonts w:ascii="Times New Roman" w:hAnsi="Times New Roman" w:cs="Times New Roman"/>
          <w:color w:val="000000"/>
        </w:rPr>
        <w:t xml:space="preserve"> and credibility of the complainant before examining other factors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favouring</w:t>
      </w:r>
      <w:proofErr w:type="spellEnd"/>
      <w:r>
        <w:rPr>
          <w:rFonts w:ascii="Times New Roman" w:hAnsi="Times New Roman" w:cs="Times New Roman"/>
          <w:color w:val="000000"/>
        </w:rPr>
        <w:t xml:space="preserve"> correct identification. She stated: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court is very much aware of the danger of acting on the uncorroborated testimony of the complainant.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However, I had opportunity to observe the complainant’s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demeanour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he testified on the witness box. I am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satisfied that the complainant gave truthful evidence which remained unshaken under cross examination by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accused. The complainant gave cogent evidence which I have no reason to doubt.”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her assessment of the </w:t>
      </w:r>
      <w:proofErr w:type="spellStart"/>
      <w:r>
        <w:rPr>
          <w:rFonts w:ascii="Times New Roman" w:hAnsi="Times New Roman" w:cs="Times New Roman"/>
          <w:color w:val="000000"/>
        </w:rPr>
        <w:t>demeanour</w:t>
      </w:r>
      <w:proofErr w:type="spellEnd"/>
      <w:r>
        <w:rPr>
          <w:rFonts w:ascii="Times New Roman" w:hAnsi="Times New Roman" w:cs="Times New Roman"/>
          <w:color w:val="000000"/>
        </w:rPr>
        <w:t xml:space="preserve"> and credibility of the appellant, the trial magistrate was the best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judge. As the predecessor of this Court stated in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Peters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v Sunday Post </w:t>
      </w:r>
      <w:r>
        <w:rPr>
          <w:rFonts w:ascii="Times New Roman" w:hAnsi="Times New Roman" w:cs="Times New Roman"/>
          <w:color w:val="000000"/>
        </w:rPr>
        <w:t>[1958] EA 424 at 429.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a strong thing for an appellate court to differ from the finding, on a question of fact, of the judge who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tried the case, and who has had the advantage of seeing and hearing the witnesses. An appellate court has,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indeed, jurisdiction to review the evidence in order to determine whether the conclusions originally reached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upon that evidence should stand. But this is a jurisdiction which should be exercised with caution. It is not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enough that the appellate court might itself have come to a different conclusion.”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assessment of the witness by the trial court was accepted by the Superior Court and we do not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ourselves find fault with it. We dismiss that ground of appeal.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appeal rested on that main issue, we need not examine the other two complaints in detail.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Suffice it to say that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put forward by the appellant was displaced by the prosecution evidence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accepted as truthful. It may appear however, that in stating as she did, that the appellant did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call his brother or the woman they disagreed on as witnesses, and further that he did not produce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medical documents to support the allegations of injury, the trial magistrate may unwittingly have been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shifting the burden of proof, which in law never shifts, to the appellant. The Superior Court made no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to those statements, but we think they were made in the context of assessing the credibility of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which was found wanting. The law, at any rate, allows for the shifting of evidential burden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any fact is especially within the knowledge of the accused person. That is section 111 of the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Act.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Finally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Wamwayi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charge sheet was defective as it omitted to state that the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armed with a dangerous weapon. The matter was neither raised before the trial court nor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Superior Court. We apprehend that the issue was raised perhaps because of misunderstanding of the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decision of this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[2003] 2 EA 471 where it was held that where the prosecution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relying on the ingredient of being armed, it must be stated in the particulars of the charge that the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weapon or instrument with which the appellant was armed was dangerous or offensive. The example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in that case was a knife and a stone which are not inherently dangerous or offensive items but the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use to which they may be put would make all the difference. The same issue was raised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Moneni</w:t>
      </w:r>
      <w:proofErr w:type="spellEnd"/>
      <w:r w:rsidR="000A0F00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Ngumbao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criminal appeal number 141 of 2005 (UR) and this Court examined in detail the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essential ingredients of the offence of robbery with violence under section 296(2) of the Penal Code as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in </w:t>
      </w:r>
      <w:r>
        <w:rPr>
          <w:rFonts w:ascii="Times New Roman" w:hAnsi="Times New Roman" w:cs="Times New Roman"/>
          <w:i/>
          <w:iCs/>
          <w:color w:val="000000"/>
        </w:rPr>
        <w:t xml:space="preserve">Johana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Ndungu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criminal appeal number 116 of 1995 (UR). After noting that the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charge sheet in that case stated, </w:t>
      </w:r>
      <w:r>
        <w:rPr>
          <w:rFonts w:ascii="Times New Roman" w:hAnsi="Times New Roman" w:cs="Times New Roman"/>
          <w:color w:val="000000"/>
        </w:rPr>
        <w:lastRenderedPageBreak/>
        <w:t>as it does in this case, that the appellant “robbed” the complainant, the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continued: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word ‘robbed’ is a term of art and connotes not simply a theft but a theft preceded, accompanied or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followed by the use of threat or use of actual violence to any person or property in order to obtain or retain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stolen property. The predecessor of this Court so held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Opoya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Ug</w:t>
      </w:r>
      <w:r>
        <w:rPr>
          <w:rFonts w:ascii="Times New Roman" w:hAnsi="Times New Roman" w:cs="Times New Roman"/>
          <w:color w:val="000000"/>
          <w:sz w:val="20"/>
          <w:szCs w:val="20"/>
        </w:rPr>
        <w:t>anda [1967] EA 752.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current appeal there was evidence to the effect that the appellant stabbed the complainant wounding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her seriously. She was taken to the hospital immediately after the event and attended to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Jamlick</w:t>
      </w:r>
      <w:proofErr w:type="spellEnd"/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Muthuri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(PW7) who classified the injuries sustained by the complainant as grievous.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already stated there are three ingredients, any one of which is sufficient to constitute the offence of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robbery with violence under section 296(2) of the Penal Code. If the offender is armed with any dangerous or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offensive weapon or instrument that would be sufficient to constitute the offence. Secondly, if one is in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company with one or more other person or persons that would constitute the offence too. And lastly if at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or immediately before or immediately after the time of the robbery he wounds, beats, strikes or uses any other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violence to any person that would be yet another set to constitute the offence. In the present appeal evidence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adduced and accepted by the two courts below that the appellant wounded the complainant by stabbing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her with a knife. That falls in the third category stated above. Clearly, the offence of robbery with violence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committed.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view of the foregoing we are satisfied that the charge was not defective since the prosecution relied on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fact that the appellant wounded the complainant during or immediately after the robbery. Experience has,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however, shown that most robberies are committed by gangs of people who are dangerously armed and that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they invariably wound their victims leading to death in some cases. We must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emphasise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any of the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ingredients as stated earlier would be sufficient to constitute the offence of robbery with violence. We must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therefore reject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Munzyu’s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submission to the effect that the charge was defective.”</w:t>
      </w:r>
      <w:r w:rsidR="000A0F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view of that authority, we do not think there is any merit in the objection raised with regard to the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irregularity in the charge sheet. At all events, we do not find, in view of the provisions of section 382 of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Criminal Procedure </w:t>
      </w:r>
      <w:proofErr w:type="gramStart"/>
      <w:r>
        <w:rPr>
          <w:rFonts w:ascii="Times New Roman" w:hAnsi="Times New Roman" w:cs="Times New Roman"/>
          <w:color w:val="000000"/>
        </w:rPr>
        <w:t>Code, that</w:t>
      </w:r>
      <w:proofErr w:type="gramEnd"/>
      <w:r>
        <w:rPr>
          <w:rFonts w:ascii="Times New Roman" w:hAnsi="Times New Roman" w:cs="Times New Roman"/>
          <w:color w:val="000000"/>
        </w:rPr>
        <w:t xml:space="preserve"> any prejudice was caused to the appellant.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foregoing reasons we are satisfied that the appellant’s conviction was based on sound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assessment of the evidence on record and we find no merit in the appeal laid before us. It is dismissed in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entirety.</w:t>
      </w:r>
      <w:r w:rsidR="000A0F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FA3DEA" w:rsidRDefault="00FA3DEA" w:rsidP="00FA3D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Wamwayi</w:t>
      </w:r>
      <w:proofErr w:type="spellEnd"/>
    </w:p>
    <w:p w:rsidR="00FA3DEA" w:rsidRDefault="00FA3DEA" w:rsidP="00FA3D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FA3DEA" w:rsidP="00FA3DEA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EA"/>
    <w:rsid w:val="000A0F00"/>
    <w:rsid w:val="00AB7022"/>
    <w:rsid w:val="00FA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C364E-C865-49C6-9F97-19E087BF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2775</Words>
  <Characters>15823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2018-07-05T08:32:00Z</dcterms:created>
  <dcterms:modified xsi:type="dcterms:W3CDTF">2018-07-13T17:33:00Z</dcterms:modified>
</cp:coreProperties>
</file>