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Obbo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Attorney-General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11 February 2004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2/02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Kanyeihamba</w:t>
      </w:r>
      <w:proofErr w:type="spellEnd"/>
      <w:proofErr w:type="gramEnd"/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JJSC and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AJSC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Constitution – Fundamental rights – Freedom of expression and press – Section 50 of Penal Code Act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proscribing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publishing false statement likely to cause fear and alarm – Whether section 50 of Penal Code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Act inconsistent with article 29(1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)(</w:t>
      </w:r>
      <w:proofErr w:type="gramEnd"/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i/>
          <w:iCs/>
          <w:color w:val="000000"/>
        </w:rPr>
        <w:t>) of Constitution.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3A4BF3" w:rsidRDefault="00996AE1" w:rsidP="003A4B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Appellants were an editor and a senior reporter of the </w:t>
      </w:r>
      <w:r>
        <w:rPr>
          <w:rFonts w:ascii="Times New Roman" w:hAnsi="Times New Roman" w:cs="Times New Roman"/>
          <w:i/>
          <w:iCs/>
          <w:color w:val="000000"/>
        </w:rPr>
        <w:t xml:space="preserve">Monitor </w:t>
      </w:r>
      <w:r>
        <w:rPr>
          <w:rFonts w:ascii="Times New Roman" w:hAnsi="Times New Roman" w:cs="Times New Roman"/>
          <w:color w:val="000000"/>
        </w:rPr>
        <w:t>newspaper. On 24 October 1997, the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were jointly charged in the Magistrate’s Court on two counts of the criminal offence of “publication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false news” contrary to section 50 of the Penal Code Act (Chapter 106). The charges arose out of a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story that the Appellants extracted from a foreign newspaper and published in the Sunday Monitor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Newspaper of 21 September 1997 under the headline “Kabila paid Uganda in Gold, says report”.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24 November 1997, the Appellants filed a joint petition to the Constitutional Court, under article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137 of the Constitution, seeking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declarations: (a) that the action of the Director of Public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Prosecutions (DPP) in prosecuting them under section 50 of the Penal Code Act, was inconsistent with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provisions of articles 29(1)(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), 40(2) and 43(2)(c) of the Constitution; and (b) that section 50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Penal Code Act was inconsistent with the provisions of articles 29(1)(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 40(2) and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43(2)(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Constitution.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postponed consideration of the petition pending conclusion of the criminal case in the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Magistrate’s Court. The Appellants were later acquitted of the criminal charges by the Magistrate’s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Subsequently, the Constitutional Court considered the petition and decided: (a) unanimously, that the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DPP’s action in prosecuting the Appellants was not inconsistent with the Constitution, and (b) by a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majority of four to one, that section 50 was not inconsistent with article 29(1)(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Constitution. The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appealed against the latter holding.</w:t>
      </w:r>
      <w:r w:rsidR="003A4BF3">
        <w:rPr>
          <w:rFonts w:ascii="Times New Roman" w:hAnsi="Times New Roman" w:cs="Times New Roman"/>
          <w:color w:val="000000"/>
        </w:rPr>
        <w:t xml:space="preserve"> </w:t>
      </w:r>
    </w:p>
    <w:p w:rsidR="003A4BF3" w:rsidRDefault="003A4BF3" w:rsidP="003A4B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96AE1" w:rsidRDefault="00996AE1" w:rsidP="003A4B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Protection of the guaranteed rights including freedom of expression was a primary objective of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Constitution. Limiting their enjoyment was an exception to their protection and therefore a secondary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objective. Although the Constitution provided for both, the primary objective was dominant and could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be overridden in the exceptional circumstances that give rise to that secondary objective. In that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eventuality, only minimal impairment of enjoyment of the right, strictly warranted by the exceptional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 could be permissible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Rangarajan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Jagjivan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Ram and others </w:t>
      </w:r>
      <w:r>
        <w:rPr>
          <w:rFonts w:ascii="Times New Roman" w:hAnsi="Times New Roman" w:cs="Times New Roman"/>
          <w:color w:val="000000"/>
        </w:rPr>
        <w:t>[1990] LRC (</w:t>
      </w:r>
      <w:proofErr w:type="spellStart"/>
      <w:r>
        <w:rPr>
          <w:rFonts w:ascii="Times New Roman" w:hAnsi="Times New Roman" w:cs="Times New Roman"/>
          <w:color w:val="000000"/>
        </w:rPr>
        <w:t>Const</w:t>
      </w:r>
      <w:proofErr w:type="spellEnd"/>
      <w:r>
        <w:rPr>
          <w:rFonts w:ascii="Times New Roman" w:hAnsi="Times New Roman" w:cs="Times New Roman"/>
          <w:color w:val="000000"/>
        </w:rPr>
        <w:t>) 412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adopted). The freedom of expression ought </w:t>
      </w:r>
      <w:proofErr w:type="gramStart"/>
      <w:r>
        <w:rPr>
          <w:rFonts w:ascii="Times New Roman" w:hAnsi="Times New Roman" w:cs="Times New Roman"/>
          <w:color w:val="000000"/>
        </w:rPr>
        <w:t>not</w:t>
      </w:r>
      <w:proofErr w:type="gramEnd"/>
      <w:r>
        <w:rPr>
          <w:rFonts w:ascii="Times New Roman" w:hAnsi="Times New Roman" w:cs="Times New Roman"/>
          <w:color w:val="000000"/>
        </w:rPr>
        <w:t xml:space="preserve"> be suppressed except where allowing its exercise would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directly endanger community interest.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50 of the Penal Code Act was a limitation on the enjoyment of the right to the freedom of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expression, and was concerned with public interest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rather than the rights of others. As such, the limitation in section 50 had to satisfy two conditions; that it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be directed to prevent or remove prejudice to public interest and it must be a measure that was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accepted and demonstrably justifiable in a free and democratic society as per article 43 of the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50 of the Penal Code Act was directed in order to avert speculative or conjectural mischief or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danger to public interest. On the face of it therefore, section 50 did not fall within the description of the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 for which limitation on enjoyment of rights was permissible under article 43(1) of the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article 43(2) of the Constitution, democratic values and principles were the criteria on which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limitation on the enjoyment of rights and freedoms guaranteed by the Constitution had to be justified.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determining the validity of the limitation imposed by section 50 of the Penal Code Act on the freedom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expression, the court had to be guided by the values and principles essential to a free and democratic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society (</w:t>
      </w:r>
      <w:r>
        <w:rPr>
          <w:rFonts w:ascii="Times New Roman" w:hAnsi="Times New Roman" w:cs="Times New Roman"/>
          <w:i/>
          <w:iCs/>
          <w:color w:val="000000"/>
        </w:rPr>
        <w:t xml:space="preserve">Regina v Oakes </w:t>
      </w:r>
      <w:r>
        <w:rPr>
          <w:rFonts w:ascii="Times New Roman" w:hAnsi="Times New Roman" w:cs="Times New Roman"/>
          <w:color w:val="000000"/>
        </w:rPr>
        <w:t xml:space="preserve">26 DLR (4) 200 and </w:t>
      </w:r>
      <w:r>
        <w:rPr>
          <w:rFonts w:ascii="Times New Roman" w:hAnsi="Times New Roman" w:cs="Times New Roman"/>
          <w:i/>
          <w:iCs/>
          <w:color w:val="000000"/>
        </w:rPr>
        <w:t xml:space="preserve">Mark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Gova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Minister of Home Affairs and</w:t>
      </w:r>
      <w:r w:rsidR="003A4BF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another </w:t>
      </w:r>
      <w:r>
        <w:rPr>
          <w:rFonts w:ascii="Times New Roman" w:hAnsi="Times New Roman" w:cs="Times New Roman"/>
          <w:color w:val="000000"/>
        </w:rPr>
        <w:t>SC 36 of 2000 civil application number 156 of 1999 adopted).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50 of the Penal Code Act was inconsistent with article 29(1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Constitution for it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infringed the right of freedom of expression and was therefore void.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allowed.</w:t>
      </w:r>
      <w:r w:rsidR="003A4B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Arutu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 </w:t>
      </w:r>
      <w:r>
        <w:rPr>
          <w:rFonts w:ascii="Times New Roman" w:hAnsi="Times New Roman" w:cs="Times New Roman"/>
          <w:color w:val="000000"/>
        </w:rPr>
        <w:t>constitutional petition number 4 of 1997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Attorney-General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Abuki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constitutional appeal number 1 of 1998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Kanabi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>criminal appeal number 12 of 1995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Tinyefuza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>constitutional appeal number 1 of 1997 (SCU) (UR)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Uganda v Commissioner of Prisons </w:t>
      </w:r>
      <w:r>
        <w:rPr>
          <w:rFonts w:ascii="Times New Roman" w:hAnsi="Times New Roman" w:cs="Times New Roman"/>
          <w:color w:val="000000"/>
        </w:rPr>
        <w:t xml:space="preserve">ex parte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Matovu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[1966] EA 514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Canada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Edmonton Journal v Alberta </w:t>
      </w:r>
      <w:r>
        <w:rPr>
          <w:rFonts w:ascii="Times New Roman" w:hAnsi="Times New Roman" w:cs="Times New Roman"/>
          <w:color w:val="000000"/>
        </w:rPr>
        <w:t>(AG) [1989] 2 SCR 1326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Edmonton Journal v Alberta </w:t>
      </w:r>
      <w:r>
        <w:rPr>
          <w:rFonts w:ascii="Times New Roman" w:hAnsi="Times New Roman" w:cs="Times New Roman"/>
          <w:color w:val="000000"/>
        </w:rPr>
        <w:t>[1989] 45 CRRI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Hunter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Southam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Incl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[1985] II DLR (4) 644 (SCC)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Ontario Film Appreciation Society and Ontario Board of Censors, Re </w:t>
      </w:r>
      <w:r>
        <w:rPr>
          <w:rFonts w:ascii="Times New Roman" w:hAnsi="Times New Roman" w:cs="Times New Roman"/>
          <w:color w:val="000000"/>
        </w:rPr>
        <w:t>147 DLR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Regina v Oakes </w:t>
      </w:r>
      <w:r>
        <w:rPr>
          <w:rFonts w:ascii="Times New Roman" w:hAnsi="Times New Roman" w:cs="Times New Roman"/>
          <w:color w:val="000000"/>
        </w:rPr>
        <w:t xml:space="preserve">26 DLR (4) 200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Thomson Newspaper Company v Canada </w:t>
      </w:r>
      <w:r>
        <w:rPr>
          <w:rFonts w:ascii="Times New Roman" w:hAnsi="Times New Roman" w:cs="Times New Roman"/>
          <w:color w:val="000000"/>
        </w:rPr>
        <w:t>[1998] 51 CRR (2) 189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Zundel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the Queen and others </w:t>
      </w:r>
      <w:r>
        <w:rPr>
          <w:rFonts w:ascii="Times New Roman" w:hAnsi="Times New Roman" w:cs="Times New Roman"/>
          <w:color w:val="000000"/>
        </w:rPr>
        <w:t>[1992] 10 CRR (20)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India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Ghandi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Union of Indi</w:t>
      </w:r>
      <w:r>
        <w:rPr>
          <w:rFonts w:ascii="Times New Roman" w:hAnsi="Times New Roman" w:cs="Times New Roman"/>
          <w:color w:val="000000"/>
        </w:rPr>
        <w:t>a [1978] 2 SCR 621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Zundel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[1992] 10 CCR (2) 193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Rangarajan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Jagjivan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Ram and others </w:t>
      </w:r>
      <w:r>
        <w:rPr>
          <w:rFonts w:ascii="Times New Roman" w:hAnsi="Times New Roman" w:cs="Times New Roman"/>
          <w:color w:val="000000"/>
        </w:rPr>
        <w:t>[1990] LRC (</w:t>
      </w:r>
      <w:proofErr w:type="spellStart"/>
      <w:r>
        <w:rPr>
          <w:rFonts w:ascii="Times New Roman" w:hAnsi="Times New Roman" w:cs="Times New Roman"/>
          <w:color w:val="000000"/>
        </w:rPr>
        <w:t>Const</w:t>
      </w:r>
      <w:proofErr w:type="spellEnd"/>
      <w:r>
        <w:rPr>
          <w:rFonts w:ascii="Times New Roman" w:hAnsi="Times New Roman" w:cs="Times New Roman"/>
          <w:color w:val="000000"/>
        </w:rPr>
        <w:t xml:space="preserve">) 412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color w:val="000000"/>
        </w:rPr>
        <w:t>Nigeria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State v The Ivory Trumpet Publishing Company Limited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South Africa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De Klerk v Du Plessis and another </w:t>
      </w:r>
      <w:r>
        <w:rPr>
          <w:rFonts w:ascii="Times New Roman" w:hAnsi="Times New Roman" w:cs="Times New Roman"/>
          <w:color w:val="000000"/>
        </w:rPr>
        <w:t>(1994) 6 BCLR 124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Lingens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(number 12/1984/84/131)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Handyside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The United Kingdom </w:t>
      </w:r>
      <w:r>
        <w:rPr>
          <w:rFonts w:ascii="Times New Roman" w:hAnsi="Times New Roman" w:cs="Times New Roman"/>
          <w:color w:val="000000"/>
        </w:rPr>
        <w:t>[1979–80] 1 EHRR 737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Hector v Attorney-General of Antigua and Barbuda </w:t>
      </w:r>
      <w:r>
        <w:rPr>
          <w:rFonts w:ascii="Times New Roman" w:hAnsi="Times New Roman" w:cs="Times New Roman"/>
          <w:color w:val="000000"/>
        </w:rPr>
        <w:t>[1990] 2 AC 312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 Hallett </w:t>
      </w:r>
      <w:r>
        <w:rPr>
          <w:rFonts w:ascii="Times New Roman" w:hAnsi="Times New Roman" w:cs="Times New Roman"/>
          <w:color w:val="000000"/>
        </w:rPr>
        <w:t xml:space="preserve">[1880] 13 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 xml:space="preserve"> D 712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Schering Chemicals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Falkman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</w:t>
      </w:r>
      <w:r>
        <w:rPr>
          <w:rFonts w:ascii="Times New Roman" w:hAnsi="Times New Roman" w:cs="Times New Roman"/>
          <w:color w:val="000000"/>
        </w:rPr>
        <w:t>[1981] 2WLR 848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States of America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Thornhill v Alabama </w:t>
      </w:r>
      <w:r>
        <w:rPr>
          <w:rFonts w:ascii="Times New Roman" w:hAnsi="Times New Roman" w:cs="Times New Roman"/>
          <w:color w:val="000000"/>
        </w:rPr>
        <w:t>310 US 88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Troop v Dulles </w:t>
      </w:r>
      <w:r>
        <w:rPr>
          <w:rFonts w:ascii="Times New Roman" w:hAnsi="Times New Roman" w:cs="Times New Roman"/>
          <w:color w:val="000000"/>
        </w:rPr>
        <w:t>US ZL Ed 785 of 590 [1956]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Zambia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Muhindika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The People </w:t>
      </w:r>
      <w:r>
        <w:rPr>
          <w:rFonts w:ascii="Times New Roman" w:hAnsi="Times New Roman" w:cs="Times New Roman"/>
          <w:color w:val="000000"/>
        </w:rPr>
        <w:t>appeal number 95 of 1995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Zimbabwe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Chavunduka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The Minister for Home Affairs and another </w:t>
      </w:r>
      <w:r>
        <w:rPr>
          <w:rFonts w:ascii="Times New Roman" w:hAnsi="Times New Roman" w:cs="Times New Roman"/>
          <w:color w:val="000000"/>
        </w:rPr>
        <w:t>civil application number 156 of</w:t>
      </w:r>
    </w:p>
    <w:p w:rsidR="00996AE1" w:rsidRDefault="00996AE1" w:rsidP="0099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1999</w:t>
      </w:r>
    </w:p>
    <w:p w:rsidR="00575C55" w:rsidRDefault="00996AE1" w:rsidP="00996AE1">
      <w:r>
        <w:rPr>
          <w:rFonts w:ascii="Times New Roman" w:hAnsi="Times New Roman" w:cs="Times New Roman"/>
          <w:i/>
          <w:iCs/>
          <w:color w:val="000000"/>
        </w:rPr>
        <w:t xml:space="preserve">Mark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Gova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Minister of Home Affairs and another </w:t>
      </w:r>
      <w:r>
        <w:rPr>
          <w:rFonts w:ascii="Times New Roman" w:hAnsi="Times New Roman" w:cs="Times New Roman"/>
          <w:color w:val="000000"/>
        </w:rPr>
        <w:t>SC 36 of 2000 civil application number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E1"/>
    <w:rsid w:val="003A4BF3"/>
    <w:rsid w:val="00575C55"/>
    <w:rsid w:val="0099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43653-65B7-41F2-B04F-A1778BFE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2018-07-04T18:14:00Z</dcterms:created>
  <dcterms:modified xsi:type="dcterms:W3CDTF">2018-07-13T17:34:00Z</dcterms:modified>
</cp:coreProperties>
</file>