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Ochola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National Bank of Kenya Ltd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March 2000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139/99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>, JJA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and procedure – Setting aside – Meaning of “appearance” and “attendance” – Party’s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counsel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court but not instructed – Adjournment refused – Counsel unable to proceed – judgment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entered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it was in default of attendance or for failure to adduce evidence – Whether setting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aside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is the right course of action – Whether such a decision can be appealed – Order IXB, Rule 8 Civil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Procedure Rules.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56938" w:rsidRDefault="000109F2" w:rsidP="00556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suit came up for hearing in May 1998. Counsel for National Bank, the Plaintiff, made an application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adjournment on the ground that she had experienced difficulties in reaching her client and further that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her client had delayed extracting some documents relevant to the case. </w:t>
      </w:r>
      <w:proofErr w:type="spellStart"/>
      <w:r>
        <w:rPr>
          <w:rFonts w:ascii="Times New Roman" w:hAnsi="Times New Roman" w:cs="Times New Roman"/>
          <w:color w:val="000000"/>
        </w:rPr>
        <w:t>Ochola</w:t>
      </w:r>
      <w:proofErr w:type="spellEnd"/>
      <w:r>
        <w:rPr>
          <w:rFonts w:ascii="Times New Roman" w:hAnsi="Times New Roman" w:cs="Times New Roman"/>
          <w:color w:val="000000"/>
        </w:rPr>
        <w:t>, the Defendant, was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but his counsel did not oppose the application. The trial Judge refused to grant an adjournment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assigning any reasons. Counsel for National Bank then declined to proceed with the case at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point the suit was dismissed with costs.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December the same year National Bank applied under Order IXB, Rule 8 to have the order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dismissing the suit set aside or varied. The application was granted. </w:t>
      </w:r>
      <w:proofErr w:type="spellStart"/>
      <w:r>
        <w:rPr>
          <w:rFonts w:ascii="Times New Roman" w:hAnsi="Times New Roman" w:cs="Times New Roman"/>
          <w:color w:val="000000"/>
        </w:rPr>
        <w:t>Ochola</w:t>
      </w:r>
      <w:proofErr w:type="spellEnd"/>
      <w:r>
        <w:rPr>
          <w:rFonts w:ascii="Times New Roman" w:hAnsi="Times New Roman" w:cs="Times New Roman"/>
          <w:color w:val="000000"/>
        </w:rPr>
        <w:t xml:space="preserve"> appealed, arguing that the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suit had not been dismissed for default of attendance but for failure to adduce evidence. As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such, the suit had been dismissed under Order XVI, Rule 4 and the judge had no jurisdiction to entertain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order for setting aside. The only avenue for National Bank was to appeal against the May 1998 order.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Bank responded that Order IXB envisaged a situation such as this where not counsel but the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 personally failed to appear.</w:t>
      </w:r>
      <w:r w:rsidR="00556938">
        <w:rPr>
          <w:rFonts w:ascii="Times New Roman" w:hAnsi="Times New Roman" w:cs="Times New Roman"/>
          <w:color w:val="000000"/>
        </w:rPr>
        <w:t xml:space="preserve"> </w:t>
      </w:r>
    </w:p>
    <w:p w:rsidR="00556938" w:rsidRDefault="00556938" w:rsidP="00556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109F2" w:rsidRDefault="000109F2" w:rsidP="00556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Where a party has appointed counsel to appear for him and that counsel has due instructions to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proceed with the hearing of a suit, it should not be dismissed under Order IXB, Rule 4(1).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Mugachia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55693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Mwakibundu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[1983] LLR 132 (CAK), </w:t>
      </w:r>
      <w:r>
        <w:rPr>
          <w:rFonts w:ascii="Times New Roman" w:hAnsi="Times New Roman" w:cs="Times New Roman"/>
          <w:i/>
          <w:iCs/>
          <w:color w:val="000000"/>
        </w:rPr>
        <w:t xml:space="preserve">Din Mohamed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Lalaji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Visram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</w:t>
      </w:r>
      <w:r>
        <w:rPr>
          <w:rFonts w:ascii="Times New Roman" w:hAnsi="Times New Roman" w:cs="Times New Roman"/>
          <w:color w:val="000000"/>
        </w:rPr>
        <w:t>[1937] 4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EACA followed;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Finaughty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Prinsloo </w:t>
      </w:r>
      <w:r>
        <w:rPr>
          <w:rFonts w:ascii="Times New Roman" w:hAnsi="Times New Roman" w:cs="Times New Roman"/>
          <w:color w:val="000000"/>
        </w:rPr>
        <w:t xml:space="preserve">[1958] EA 657 discussed; </w:t>
      </w:r>
      <w:r>
        <w:rPr>
          <w:rFonts w:ascii="Times New Roman" w:hAnsi="Times New Roman" w:cs="Times New Roman"/>
          <w:i/>
          <w:iCs/>
          <w:color w:val="000000"/>
        </w:rPr>
        <w:t xml:space="preserve">Lobo v Saleh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Dhiyebi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[1961] EA 223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considered.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when an advocate’s request for an adjournment is refused and he has no instructions to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his client’s case, there is no “appearance”, even if his client is present in person but is not ready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proceed</w:t>
      </w:r>
      <w:r>
        <w:rPr>
          <w:rFonts w:ascii="Times New Roman" w:hAnsi="Times New Roman" w:cs="Times New Roman"/>
          <w:i/>
          <w:iCs/>
          <w:color w:val="000000"/>
        </w:rPr>
        <w:t>. Sarkar’s Law of Civil Procedure</w:t>
      </w:r>
      <w:r>
        <w:rPr>
          <w:rFonts w:ascii="Times New Roman" w:hAnsi="Times New Roman" w:cs="Times New Roman"/>
          <w:color w:val="000000"/>
        </w:rPr>
        <w:t xml:space="preserve">, (8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) Volume 1 at page 723 approved; </w:t>
      </w:r>
      <w:r>
        <w:rPr>
          <w:rFonts w:ascii="Times New Roman" w:hAnsi="Times New Roman" w:cs="Times New Roman"/>
          <w:i/>
          <w:iCs/>
          <w:color w:val="000000"/>
        </w:rPr>
        <w:t xml:space="preserve">Shah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Kachra</w:t>
      </w:r>
      <w:proofErr w:type="spellEnd"/>
      <w:r w:rsidR="0055693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Merag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Gandhi and Co</w:t>
      </w:r>
      <w:r>
        <w:rPr>
          <w:rFonts w:ascii="Times New Roman" w:hAnsi="Times New Roman" w:cs="Times New Roman"/>
          <w:color w:val="000000"/>
        </w:rPr>
        <w:t>. [1975] EA 466 followed.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Order IXB deals with “attendance”, there is really no distinction between the terms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“appearance” and “attendance”. They both connote appearance in person or through advocate for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conducting the case. </w:t>
      </w:r>
      <w:r>
        <w:rPr>
          <w:rFonts w:ascii="Times New Roman" w:hAnsi="Times New Roman" w:cs="Times New Roman"/>
          <w:i/>
          <w:iCs/>
          <w:color w:val="000000"/>
        </w:rPr>
        <w:t xml:space="preserve">Re Mahon </w:t>
      </w:r>
      <w:r>
        <w:rPr>
          <w:rFonts w:ascii="Times New Roman" w:hAnsi="Times New Roman" w:cs="Times New Roman"/>
          <w:color w:val="000000"/>
        </w:rPr>
        <w:t xml:space="preserve">[1893] 1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507 adopted;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Stamon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Tiwi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Beach Hotel Ltd </w:t>
      </w:r>
      <w:r>
        <w:rPr>
          <w:rFonts w:ascii="Times New Roman" w:hAnsi="Times New Roman" w:cs="Times New Roman"/>
          <w:color w:val="000000"/>
        </w:rPr>
        <w:t>[1996] LLR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438 (CAK) followed.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Hence in this case, since the advocate’s inability to proceed was caused by lack of instructions and not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lack of preparation, she cannot be said to have been present in court.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i/>
          <w:iCs/>
          <w:color w:val="000000"/>
        </w:rPr>
        <w:t xml:space="preserve">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color w:val="000000"/>
        </w:rPr>
        <w:t>: It would be contrary to the policy of the law to hold that an absent party client appeared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his uninstructed counsel. If the refusal to adjourn is held to be outside the scope of Order IXB, rule 8,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would be no possibility of appeal as for lack of any grounds to exercise discretion.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Muguchia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distinguished. Further, even if the client failed to attend due to his advocate’s instructions, this</w:t>
      </w:r>
      <w:r w:rsidR="00556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be an error of the advocate, which should only be visited on the client as the last resort. </w:t>
      </w:r>
      <w:r>
        <w:rPr>
          <w:rFonts w:ascii="Times New Roman" w:hAnsi="Times New Roman" w:cs="Times New Roman"/>
          <w:i/>
          <w:iCs/>
          <w:color w:val="000000"/>
        </w:rPr>
        <w:t>The EL</w:t>
      </w:r>
      <w:r w:rsidR="0055693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Amira </w:t>
      </w:r>
      <w:r>
        <w:rPr>
          <w:rFonts w:ascii="Times New Roman" w:hAnsi="Times New Roman" w:cs="Times New Roman"/>
          <w:color w:val="000000"/>
        </w:rPr>
        <w:t xml:space="preserve">[1981] 2 Lloyd’s Rep 539,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Sodha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Hemraj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[1952] 7 Uganda Law Reports 11 adopted.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Brooke Bond Liebig (I)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Mallya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[1975] EA 266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Finaughty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Prinsloo </w:t>
      </w:r>
      <w:r>
        <w:rPr>
          <w:rFonts w:ascii="Times New Roman" w:hAnsi="Times New Roman" w:cs="Times New Roman"/>
          <w:color w:val="000000"/>
        </w:rPr>
        <w:t xml:space="preserve">[1958] EA 657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Lobo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Dhiyebi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[1961] EA 223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Merag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Gandhi and Co </w:t>
      </w:r>
      <w:r>
        <w:rPr>
          <w:rFonts w:ascii="Times New Roman" w:hAnsi="Times New Roman" w:cs="Times New Roman"/>
          <w:color w:val="000000"/>
        </w:rPr>
        <w:t xml:space="preserve">[1975] EA 466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Mohamed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Lalaji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Visram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</w:t>
      </w:r>
      <w:r>
        <w:rPr>
          <w:rFonts w:ascii="Times New Roman" w:hAnsi="Times New Roman" w:cs="Times New Roman"/>
          <w:color w:val="000000"/>
        </w:rPr>
        <w:t xml:space="preserve">[1937] 4 EACA 1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Mugachia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Mwakibundu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[1983] LLR 132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Sodha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Hemraj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[1952] 7 Uganda Law Reports 11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Stamon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Tiwi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Beach Hotel Ltd </w:t>
      </w:r>
      <w:r>
        <w:rPr>
          <w:rFonts w:ascii="Times New Roman" w:hAnsi="Times New Roman" w:cs="Times New Roman"/>
          <w:color w:val="000000"/>
        </w:rPr>
        <w:t xml:space="preserve">[1996] LLR 438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Mobbs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Powell </w:t>
      </w:r>
      <w:r>
        <w:rPr>
          <w:rFonts w:ascii="Times New Roman" w:hAnsi="Times New Roman" w:cs="Times New Roman"/>
          <w:color w:val="000000"/>
        </w:rPr>
        <w:t>[1965] R 222</w:t>
      </w:r>
    </w:p>
    <w:p w:rsidR="000109F2" w:rsidRDefault="000109F2" w:rsidP="00010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 Mahon [1893] 1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507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3F18BF" w:rsidRDefault="000109F2" w:rsidP="000109F2">
      <w:r>
        <w:rPr>
          <w:rFonts w:ascii="Times New Roman" w:hAnsi="Times New Roman" w:cs="Times New Roman"/>
          <w:color w:val="000000"/>
        </w:rPr>
        <w:t>The EL Amira [1981] 2 Lloyd’s Rep 539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F2"/>
    <w:rsid w:val="000109F2"/>
    <w:rsid w:val="003F18BF"/>
    <w:rsid w:val="0055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05B82-9904-47D1-A896-2606D623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2018-07-05T10:49:00Z</dcterms:created>
  <dcterms:modified xsi:type="dcterms:W3CDTF">2018-07-13T17:44:00Z</dcterms:modified>
</cp:coreProperties>
</file>