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4F3" w:rsidRDefault="00AF04F3" w:rsidP="00AF04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Ochola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National Bank of Kenya Ltd</w:t>
      </w:r>
    </w:p>
    <w:p w:rsidR="00AF04F3" w:rsidRDefault="00AF04F3" w:rsidP="00AF04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AF04F3" w:rsidRDefault="00AF04F3" w:rsidP="00AF04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March 2000</w:t>
      </w:r>
    </w:p>
    <w:p w:rsidR="00AF04F3" w:rsidRDefault="00AF04F3" w:rsidP="00AF04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139/99</w:t>
      </w:r>
    </w:p>
    <w:p w:rsidR="00AF04F3" w:rsidRDefault="00AF04F3" w:rsidP="00AF04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Bosire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>, JJA</w:t>
      </w:r>
    </w:p>
    <w:p w:rsidR="00AF04F3" w:rsidRDefault="00AF04F3" w:rsidP="00AF04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F04F3" w:rsidRDefault="00AF04F3" w:rsidP="00AF04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AF04F3" w:rsidRDefault="00AF04F3" w:rsidP="00AF04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and procedure – Setting aside – Meaning of “appearance” and “attendance” – Party’s</w:t>
      </w:r>
    </w:p>
    <w:p w:rsidR="00AF04F3" w:rsidRDefault="00AF04F3" w:rsidP="00AF04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counsel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 court but not instructed – Adjournment refused – Counsel unable to proceed – judgment</w:t>
      </w:r>
    </w:p>
    <w:p w:rsidR="00AF04F3" w:rsidRDefault="00AF04F3" w:rsidP="00AF04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entered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it was in default of attendance or for failure to adduce evidence – Whether setting</w:t>
      </w:r>
    </w:p>
    <w:p w:rsidR="00AF04F3" w:rsidRDefault="00AF04F3" w:rsidP="00AF04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aside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is the right course of action – Whether such a decision can be appealed – Order IXB, Rule 8 Civil</w:t>
      </w:r>
    </w:p>
    <w:p w:rsidR="00AF04F3" w:rsidRDefault="00AF04F3" w:rsidP="00AF04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Procedure Rules.</w:t>
      </w:r>
    </w:p>
    <w:p w:rsidR="00AF04F3" w:rsidRDefault="00E724AA" w:rsidP="00AF04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AF04F3" w:rsidRDefault="00AF04F3" w:rsidP="00AF04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TUNOI, BOSIRE AND O’KUBASU JJA: </w:t>
      </w:r>
      <w:r>
        <w:rPr>
          <w:rFonts w:ascii="Times New Roman" w:hAnsi="Times New Roman" w:cs="Times New Roman"/>
          <w:color w:val="000000"/>
        </w:rPr>
        <w:t>Order IXB, rule 4(1) of the Civil Procedure Rules (“the</w:t>
      </w:r>
    </w:p>
    <w:p w:rsidR="00AF04F3" w:rsidRDefault="00AF04F3" w:rsidP="00AF04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Rules”) provides that:</w:t>
      </w:r>
    </w:p>
    <w:p w:rsidR="00AF04F3" w:rsidRDefault="00AF04F3" w:rsidP="00AF04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“If on the day fixed for hearing, after the suit has been called on for hearing outside the court, only the</w:t>
      </w:r>
    </w:p>
    <w:p w:rsidR="00AF04F3" w:rsidRDefault="00AF04F3" w:rsidP="00E72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Defendant attends and he admits no part of the claim, the suit shall be dismissed except for good cause to be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recorded by the court”.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Likewise Order XVI, rules 3 and 4 of the Rules provides that: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“3. Where on any day to which the hearing of the suit is adjourned, the parties or any of them fail to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appear, the court may proceed to dispose of the suit in one of the modes directed in that behalf by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Order IXB, or make such other order as it thinks fit.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4. W here any party to a suit to whom time has been granted fails to produce his evidence, or to cause the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attendance of his witnesses, or to perform any other act necessary to the further progress of the suit, for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time has been allowed, the court may, notwithstanding such default, proceed to decide the suit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forthwith”.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Appellant, Johnstone </w:t>
      </w:r>
      <w:proofErr w:type="spellStart"/>
      <w:r>
        <w:rPr>
          <w:rFonts w:ascii="Times New Roman" w:hAnsi="Times New Roman" w:cs="Times New Roman"/>
          <w:color w:val="000000"/>
        </w:rPr>
        <w:t>Aggrey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Ochola</w:t>
      </w:r>
      <w:proofErr w:type="spellEnd"/>
      <w:r>
        <w:rPr>
          <w:rFonts w:ascii="Times New Roman" w:hAnsi="Times New Roman" w:cs="Times New Roman"/>
          <w:color w:val="000000"/>
        </w:rPr>
        <w:t>, whom we shall hereafter refer to as the Appellant, was the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in a suit commenced in the superior court by plaint by National Bank of Kenya Limited (“the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bank”). When that suit came on for hearing, on 4 May 1998, the Appellant and his counsel,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Amuga</w:t>
      </w:r>
      <w:proofErr w:type="spellEnd"/>
      <w:r w:rsidR="00E724A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present but only counsel for the bank, one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Oduge</w:t>
      </w:r>
      <w:proofErr w:type="spellEnd"/>
      <w:r>
        <w:rPr>
          <w:rFonts w:ascii="Times New Roman" w:hAnsi="Times New Roman" w:cs="Times New Roman"/>
          <w:color w:val="000000"/>
        </w:rPr>
        <w:t>, attended. She applied for the adjournment of the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arguing that she had had difficulties reaching her client, and also that the bank “is taking time to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extract” some documents relevant to the case.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Amuga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 did not oppose the application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adjournment. However, the Learned trial Judge, Ole </w:t>
      </w:r>
      <w:proofErr w:type="spellStart"/>
      <w:r>
        <w:rPr>
          <w:rFonts w:ascii="Times New Roman" w:hAnsi="Times New Roman" w:cs="Times New Roman"/>
          <w:color w:val="000000"/>
        </w:rPr>
        <w:t>Keiwua</w:t>
      </w:r>
      <w:proofErr w:type="spellEnd"/>
      <w:r>
        <w:rPr>
          <w:rFonts w:ascii="Times New Roman" w:hAnsi="Times New Roman" w:cs="Times New Roman"/>
          <w:color w:val="000000"/>
        </w:rPr>
        <w:t xml:space="preserve"> J (as he then was) was disinclined to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grant the adjournment and without assigning any reasons made an order in the following terms: </w:t>
      </w:r>
      <w:r>
        <w:rPr>
          <w:rFonts w:ascii="Times New Roman" w:hAnsi="Times New Roman" w:cs="Times New Roman"/>
          <w:i/>
          <w:iCs/>
          <w:color w:val="000000"/>
        </w:rPr>
        <w:t>“Order</w:t>
      </w:r>
      <w:r>
        <w:rPr>
          <w:rFonts w:ascii="Times New Roman" w:hAnsi="Times New Roman" w:cs="Times New Roman"/>
          <w:color w:val="000000"/>
        </w:rPr>
        <w:t>: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Adjournment is refused”. Counsel for the bank thereupon announced that she would not be able to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 with the Plaintiff’s case. The trial Judge then without further ado ordered the suit to be dismissed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costs.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record of proceedings shows that after the dismissal neither party took any steps on record until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16 December 1998, when the bank filed an application by chamber summons expressed to be brought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Order IXB, rule 8 and Order XLIX, rule 5 of the Rules and section 3A of the Civil Procedure Act,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an order vacating, varying or reviewing the order dismissing the Bank’s suit. By dint of the provisions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Order XLIX Rule 5, above, the application was heard by the Learned Judge who made the dismissal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order, and after hearing the parties’ respective counsel he allowed the application and thereby provoked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appeal.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main legal point raised and argued before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Judge and also before us is whether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Learned Judge had jurisdiction under Order IXB, rule 8, above, to grant the order.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Amuga</w:t>
      </w:r>
      <w:proofErr w:type="spellEnd"/>
      <w:r>
        <w:rPr>
          <w:rFonts w:ascii="Times New Roman" w:hAnsi="Times New Roman" w:cs="Times New Roman"/>
          <w:color w:val="000000"/>
        </w:rPr>
        <w:t>, for the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Appellant, submitted, both in the court below and before us, that the Plaintiff’s suit was not dismissed for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default of attendance but for failure to adduce evidence. Consequently, he said, the dismissal order was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made under Order XVI, rule 4, </w:t>
      </w:r>
      <w:proofErr w:type="spellStart"/>
      <w:r>
        <w:rPr>
          <w:rFonts w:ascii="Times New Roman" w:hAnsi="Times New Roman" w:cs="Times New Roman"/>
          <w:color w:val="000000"/>
        </w:rPr>
        <w:t>aforequoted</w:t>
      </w:r>
      <w:proofErr w:type="spellEnd"/>
      <w:r>
        <w:rPr>
          <w:rFonts w:ascii="Times New Roman" w:hAnsi="Times New Roman" w:cs="Times New Roman"/>
          <w:color w:val="000000"/>
        </w:rPr>
        <w:t>. In his view because counsel for the bank was present in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the bank’s suit could not properly be dealt with under Order IXB, rule 4, above, and the only course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was open to the bank, if it wished to challenge the order, was an appeal against it.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Rachuonyo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bank did not think Order IXB envisages attendance of counsel but the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attendance of the party he represents personally. In his view the said order envisages a situation where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parties themselves do not attend and because of their absence it is impossible to proceed with the case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normal manner. Consequently, he urged, a decision made in those circumstances is not on the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merits and can be recalled and be either reviewed or set aside. In the alternative,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Rachuonyo</w:t>
      </w:r>
      <w:proofErr w:type="spellEnd"/>
      <w:r w:rsidR="00E724A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since the bank’s application in the superior court had a prayer for review, even though the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relevant provision </w:t>
      </w:r>
      <w:proofErr w:type="spellStart"/>
      <w:r>
        <w:rPr>
          <w:rFonts w:ascii="Times New Roman" w:hAnsi="Times New Roman" w:cs="Times New Roman"/>
          <w:color w:val="000000"/>
        </w:rPr>
        <w:lastRenderedPageBreak/>
        <w:t>authorising</w:t>
      </w:r>
      <w:proofErr w:type="spellEnd"/>
      <w:r>
        <w:rPr>
          <w:rFonts w:ascii="Times New Roman" w:hAnsi="Times New Roman" w:cs="Times New Roman"/>
          <w:color w:val="000000"/>
        </w:rPr>
        <w:t xml:space="preserve"> review was not cited, the court had the jurisdiction to order a review if the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bank’s was a fit case for review. In that regard he cited the case of </w:t>
      </w:r>
      <w:r>
        <w:rPr>
          <w:rFonts w:ascii="Times New Roman" w:hAnsi="Times New Roman" w:cs="Times New Roman"/>
          <w:i/>
          <w:iCs/>
          <w:color w:val="000000"/>
        </w:rPr>
        <w:t>Brooke Bond Liebig (I) Limited v</w:t>
      </w:r>
      <w:r w:rsidR="00E724AA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Mallya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[1975] EA 266 in support of that proposition.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cannot be gainsaid that Order IXB, rule 4(1) above may only be resorted to when the suit comes on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a hearing on first instance. Where the hearing of a suit has commenced its prosecution is governed by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provisions of Orders XVI and XVII of the Rules. Where a party is refused an adjournment either on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day the suit comes for a hearing or on any day to which the hearing of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 is adjourned, by dint of the provisions of Order XVI, rule 3, any party in whose absence an order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adverse to him was made is at liberty to move the court under Order IXB, rule 8, above, for an order,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either setting aside, varying or reviewing such order. The court’s powers to set aside under that order are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confined only to cases where the orders sought to be vacated are made under that order but also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extends to cases which are part heard but for some reason any of the parties fails to attend at the resumed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of the suit.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Amuga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dismissal of the Bank’s suit was neither under Order XVI, rule (3)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nor Order IXB, rule 4, but under Order XVI, rule 4, and an application could not, therefore, be validly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made under Order IXB, rule 8, </w:t>
      </w:r>
      <w:proofErr w:type="spellStart"/>
      <w:r>
        <w:rPr>
          <w:rFonts w:ascii="Times New Roman" w:hAnsi="Times New Roman" w:cs="Times New Roman"/>
          <w:color w:val="000000"/>
        </w:rPr>
        <w:t>aforestated</w:t>
      </w:r>
      <w:proofErr w:type="spellEnd"/>
      <w:r>
        <w:rPr>
          <w:rFonts w:ascii="Times New Roman" w:hAnsi="Times New Roman" w:cs="Times New Roman"/>
          <w:color w:val="000000"/>
        </w:rPr>
        <w:t xml:space="preserve"> for the setting aside of the dismissal. With due respect to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counsel, Order XVI, rule 4, above has to be read together with rule 1 of the same order. The latter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predicates that a suit be heard on a day to day basis. Where, however, that is not practicable because any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party to the suit is unable to produce evidence, the court has power to grant that party time within which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do so. rule 4, above, presupposes a party has failed for the second or more times to produce evidence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support of his case even after being granted the time to do so. That is not what happened in this matter.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Neither party had at his or its request, been granted an adjournment to get witnesses or to produce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evidence. The setting down of a suit for hearing by the Plaintiff under Order IXB, rule 1, of the Rules is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envisaged by that rule because that is a step which has to be taken administratively not judicially. The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governing phrase in rule 4 which distinguishes the rule from Rule 3 before it, is “where any party to a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to whom time has been granted”. It must be read to mean time granted in accordance with the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Order XVI, rule 1. In our judgment, therefore, Order XVI, rule 4 has no bearing on this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matter.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Regarding the construction to be given to the provisions of Order IXB, rule 4(1), above, the rule, in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our view, should be given an interpretation which avoids absurdities. It is of course true that where a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party has appointed counsel to appear for him and that counsel has due instructions to proceed with the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of a suit, it should not be dismissed under Order IXB, rule 4(1), above. In that regard we would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agree with the decision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Mugachia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Mwakibundu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 xml:space="preserve">[1983] LLR 132 (CAK), which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E724A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Amuga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cited in support of the Appellant’s case.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Lobo v Saleh 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Dhiyebi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[1961] EA 223 at page 229, the Court of Appeal for East Africa had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occasion to consider the duty of counsel </w:t>
      </w:r>
      <w:r>
        <w:rPr>
          <w:rFonts w:ascii="Times New Roman" w:hAnsi="Times New Roman" w:cs="Times New Roman"/>
          <w:i/>
          <w:iCs/>
          <w:color w:val="000000"/>
        </w:rPr>
        <w:t xml:space="preserve">vis-á-vis </w:t>
      </w:r>
      <w:r>
        <w:rPr>
          <w:rFonts w:ascii="Times New Roman" w:hAnsi="Times New Roman" w:cs="Times New Roman"/>
          <w:color w:val="000000"/>
        </w:rPr>
        <w:t>his client and the court. Sir Kenneth O’Connor P,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delivering the judgment of the Court, said: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“An advocate who appears for a client in a contested case is retained to advance or defend his client’s case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not his own. This he must do strictly upon instructions and with a scrupulous regard to professional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ethics. Remembering that he is an officer of the court and owes a duty to the court as well as his client, he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must never knowingly mislead the court as to the facts or the law”.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“attendance” or “</w:t>
      </w:r>
      <w:proofErr w:type="spellStart"/>
      <w:r>
        <w:rPr>
          <w:rFonts w:ascii="Times New Roman" w:hAnsi="Times New Roman" w:cs="Times New Roman"/>
          <w:color w:val="000000"/>
        </w:rPr>
        <w:t>appearence</w:t>
      </w:r>
      <w:proofErr w:type="spellEnd"/>
      <w:r>
        <w:rPr>
          <w:rFonts w:ascii="Times New Roman" w:hAnsi="Times New Roman" w:cs="Times New Roman"/>
          <w:color w:val="000000"/>
        </w:rPr>
        <w:t>” of counsel in court as used in the rules of practice does not denote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merely a literal physical presence. </w:t>
      </w:r>
      <w:r>
        <w:rPr>
          <w:rFonts w:ascii="Times New Roman" w:hAnsi="Times New Roman" w:cs="Times New Roman"/>
          <w:i/>
          <w:iCs/>
          <w:color w:val="000000"/>
        </w:rPr>
        <w:t>Sarkar’s Law of Civil Procedure</w:t>
      </w:r>
      <w:r>
        <w:rPr>
          <w:rFonts w:ascii="Times New Roman" w:hAnsi="Times New Roman" w:cs="Times New Roman"/>
          <w:color w:val="000000"/>
        </w:rPr>
        <w:t>, (8 Ed) Volume 1 at page 723, has a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comment on the term “appearance” as used in the Indian Civil Procedure Code. It states as follows: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“ ‘Appearance’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has a well-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recognised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meaning and means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appearence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person or through pleader for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conducting the case. When a pleader asks for an adjournment which is refused but has no instructions to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present his client, there is no ‘appearance’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though the party was present in person in court ... Substantially, when a party is ready to do something or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other in relation to the progress of the suit, he shall be taken to have appeared”.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But Order IXB of the Rules does not use the term “</w:t>
      </w:r>
      <w:proofErr w:type="spellStart"/>
      <w:r>
        <w:rPr>
          <w:rFonts w:ascii="Times New Roman" w:hAnsi="Times New Roman" w:cs="Times New Roman"/>
          <w:color w:val="000000"/>
        </w:rPr>
        <w:t>appearence</w:t>
      </w:r>
      <w:proofErr w:type="spellEnd"/>
      <w:r>
        <w:rPr>
          <w:rFonts w:ascii="Times New Roman" w:hAnsi="Times New Roman" w:cs="Times New Roman"/>
          <w:color w:val="000000"/>
        </w:rPr>
        <w:t>”. Rather it uses the term “attendance”. In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our view, and there is ample authority, to wit, </w:t>
      </w:r>
      <w:r>
        <w:rPr>
          <w:rFonts w:ascii="Times New Roman" w:hAnsi="Times New Roman" w:cs="Times New Roman"/>
          <w:i/>
          <w:iCs/>
          <w:color w:val="000000"/>
        </w:rPr>
        <w:t xml:space="preserve">In re Mahon </w:t>
      </w:r>
      <w:r>
        <w:rPr>
          <w:rFonts w:ascii="Times New Roman" w:hAnsi="Times New Roman" w:cs="Times New Roman"/>
          <w:color w:val="000000"/>
        </w:rPr>
        <w:t xml:space="preserve">[1893] 1 </w:t>
      </w:r>
      <w:proofErr w:type="spellStart"/>
      <w:r>
        <w:rPr>
          <w:rFonts w:ascii="Times New Roman" w:hAnsi="Times New Roman" w:cs="Times New Roman"/>
          <w:color w:val="000000"/>
        </w:rPr>
        <w:t>Ch</w:t>
      </w:r>
      <w:proofErr w:type="spellEnd"/>
      <w:r>
        <w:rPr>
          <w:rFonts w:ascii="Times New Roman" w:hAnsi="Times New Roman" w:cs="Times New Roman"/>
          <w:color w:val="000000"/>
        </w:rPr>
        <w:t xml:space="preserve"> 507, there is really no distinction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“</w:t>
      </w:r>
      <w:proofErr w:type="spellStart"/>
      <w:r>
        <w:rPr>
          <w:rFonts w:ascii="Times New Roman" w:hAnsi="Times New Roman" w:cs="Times New Roman"/>
          <w:color w:val="000000"/>
        </w:rPr>
        <w:t>appearence</w:t>
      </w:r>
      <w:proofErr w:type="spellEnd"/>
      <w:r>
        <w:rPr>
          <w:rFonts w:ascii="Times New Roman" w:hAnsi="Times New Roman" w:cs="Times New Roman"/>
          <w:color w:val="000000"/>
        </w:rPr>
        <w:t>” and “attendance”. They both connote counsel’s presence in court ready to do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something in relation to the progress of the case to which he has instructions. This Court came to the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same conclusion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Stamon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Tiwi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Beach Hotel Ltd </w:t>
      </w:r>
      <w:r>
        <w:rPr>
          <w:rFonts w:ascii="Times New Roman" w:hAnsi="Times New Roman" w:cs="Times New Roman"/>
          <w:color w:val="000000"/>
        </w:rPr>
        <w:t>[1996] LLR 438 (CAK). In that case the plaintiff was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personally in court but he had counsel who was duly instructed to proceed with the hearing of the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case. This Court held that a plaintiff need not personally be present in court if he has counsel who is duly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to proceed with the case. In re </w:t>
      </w:r>
      <w:r>
        <w:rPr>
          <w:rFonts w:ascii="Times New Roman" w:hAnsi="Times New Roman" w:cs="Times New Roman"/>
          <w:i/>
          <w:iCs/>
          <w:color w:val="000000"/>
        </w:rPr>
        <w:t xml:space="preserve">Mahon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the Court of Appeal in England held that an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attendance of a solicitor or his clerk for a merely formal purpose, such as delivering briefs or papers </w:t>
      </w:r>
      <w:r>
        <w:rPr>
          <w:rFonts w:ascii="Times New Roman" w:hAnsi="Times New Roman" w:cs="Times New Roman"/>
          <w:color w:val="000000"/>
        </w:rPr>
        <w:lastRenderedPageBreak/>
        <w:t>at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counsel’s chambers is not an “attendance” which would entitle the solicitor to a fee for such attendance.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Din Mohamed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Lalaji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Visram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 </w:t>
      </w:r>
      <w:r>
        <w:rPr>
          <w:rFonts w:ascii="Times New Roman" w:hAnsi="Times New Roman" w:cs="Times New Roman"/>
          <w:color w:val="000000"/>
        </w:rPr>
        <w:t>[1937] 4 EACA 1 the Court of Appeal for East Africa also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emphasised</w:t>
      </w:r>
      <w:proofErr w:type="spellEnd"/>
      <w:r>
        <w:rPr>
          <w:rFonts w:ascii="Times New Roman" w:hAnsi="Times New Roman" w:cs="Times New Roman"/>
          <w:color w:val="000000"/>
        </w:rPr>
        <w:t xml:space="preserve"> attendance in court by an advocate duly instructed as sufficient.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Shah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Kachra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Merag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Gandhi and Co </w:t>
      </w:r>
      <w:r>
        <w:rPr>
          <w:rFonts w:ascii="Times New Roman" w:hAnsi="Times New Roman" w:cs="Times New Roman"/>
          <w:color w:val="000000"/>
        </w:rPr>
        <w:t>[1975] EA 466 the Court of Appeal for East Africa held that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are two types of appearances, namely, appearance in fact and appearance in law. Appearance in law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means, in our view, being ready to do something or other in relation to the progress of the suit. For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instance,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Finaughty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Prinsloo </w:t>
      </w:r>
      <w:r>
        <w:rPr>
          <w:rFonts w:ascii="Times New Roman" w:hAnsi="Times New Roman" w:cs="Times New Roman"/>
          <w:color w:val="000000"/>
        </w:rPr>
        <w:t>[1958] EA 657 counsel for the appellant as plaintiff in the suit was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fully instructed by the Official Receiver, the appellant having been declared insolvent, to continue with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case. He applied for adjournment of the hearing on the ground that the appellant was away and could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possibly attend on the following day. Adjournment was declined and the trial court dismissed the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case on the ground that he did not appear. On appeal it was held that the appellant had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appeared by his advocate. The court said: “In any event there was nothing to show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Todd when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appeared by him was not duly instructed and able to answer all material questions relating to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suit. He was not prepared to give evidence in support of the plaintiff’s claim; but that is not the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function of an advocate”.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here tended to adopt the view that where counsel, though instructed, is not ready to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continue with the hearing of a suit, not because of his own default but because of absence of his client,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circumstances were such that it could not be said that there was no </w:t>
      </w:r>
      <w:proofErr w:type="spellStart"/>
      <w:r>
        <w:rPr>
          <w:rFonts w:ascii="Times New Roman" w:hAnsi="Times New Roman" w:cs="Times New Roman"/>
          <w:color w:val="000000"/>
        </w:rPr>
        <w:t>appearence</w:t>
      </w:r>
      <w:proofErr w:type="spellEnd"/>
      <w:r>
        <w:rPr>
          <w:rFonts w:ascii="Times New Roman" w:hAnsi="Times New Roman" w:cs="Times New Roman"/>
          <w:color w:val="000000"/>
        </w:rPr>
        <w:t xml:space="preserve"> in law for that party.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effect the court adopted the view of Indian Courts. It then follows that it is the duty of counsel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concerned to lay before the court material upon which the court will act to come to a finding that he is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ready to do something or other in relation to the progress of his client’s case for no fault on his part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counsel.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Apart from decided cases it seems to us that it would be contrary to the policy of the law in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as in the present case to hold that the bank, in law, appeared by its counsel. We say so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advisedly. Assuming for a moment that the bank, instead of bringing an application under Order IXB,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8 above, appealed. There would be no material upon which the Learned Judge’s decision to dismiss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suit would be based as the only material on record would be with regard to the application for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adjournment. The bank would not properly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against refusal of an adjournment because the suit would have been finally dealt with. It is a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situation as the foregoing which, we think, this Court had in mind in the </w:t>
      </w:r>
      <w:r>
        <w:rPr>
          <w:rFonts w:ascii="Times New Roman" w:hAnsi="Times New Roman" w:cs="Times New Roman"/>
          <w:i/>
          <w:iCs/>
          <w:color w:val="000000"/>
        </w:rPr>
        <w:t xml:space="preserve">Herman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Muguchia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it said (Per </w:t>
      </w:r>
      <w:proofErr w:type="spellStart"/>
      <w:r>
        <w:rPr>
          <w:rFonts w:ascii="Times New Roman" w:hAnsi="Times New Roman" w:cs="Times New Roman"/>
          <w:color w:val="000000"/>
        </w:rPr>
        <w:t>Hancox</w:t>
      </w:r>
      <w:proofErr w:type="spellEnd"/>
      <w:r>
        <w:rPr>
          <w:rFonts w:ascii="Times New Roman" w:hAnsi="Times New Roman" w:cs="Times New Roman"/>
          <w:color w:val="000000"/>
        </w:rPr>
        <w:t xml:space="preserve"> JA) thus: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“[It] cannot be denied that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Jiwaji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full knowledge that the case had been fixed for that date and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confirmed, took it upon himself to advise the Appellant not to attend. He frankly admitted this to the judge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to us. That was undoubtedly his fault, but I nonetheless think that, in exercising his discretion to refuse an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adjournment, even until the afternoon the learned acting judge failed to take into account a consideration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which he should have taken into account (see Brandon LJ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The EL Amira </w:t>
      </w:r>
      <w:r>
        <w:rPr>
          <w:rFonts w:ascii="Times New Roman" w:hAnsi="Times New Roman" w:cs="Times New Roman"/>
          <w:color w:val="000000"/>
          <w:sz w:val="20"/>
          <w:szCs w:val="20"/>
        </w:rPr>
        <w:t>[1981] 2 Lloyd’s Rep 539),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namely that by visiting the error of his advocate on the unfortunate Appellant, he denied him the right of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having his case heard at all, which surely 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Ainley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 (as he then was) said in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Sodha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Hemraj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[1952] 7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Uganda Law Reports 11, should be the last resort of any court”.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court was there emphasizing the issue of the policy of the law. An advocate may have general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instructions to represent a party in a suit, but he cannot be supplanted in his place. </w:t>
      </w:r>
      <w:proofErr w:type="spellStart"/>
      <w:r>
        <w:rPr>
          <w:rFonts w:ascii="Times New Roman" w:hAnsi="Times New Roman" w:cs="Times New Roman"/>
          <w:color w:val="000000"/>
        </w:rPr>
        <w:t>Where as</w:t>
      </w:r>
      <w:proofErr w:type="spellEnd"/>
      <w:r>
        <w:rPr>
          <w:rFonts w:ascii="Times New Roman" w:hAnsi="Times New Roman" w:cs="Times New Roman"/>
          <w:color w:val="000000"/>
        </w:rPr>
        <w:t xml:space="preserve"> here counsel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not possibly do anything without his client to ensure the further progress of the case, more so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he had done all that he was required to do as counsel, it cannot, properly, be said, in our view, that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client appeared. The wording of Order III, rule 1 does suggest that there are instances and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when counsel, although instructed, may not be duly instructed. An extract from the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judgment of Gillard J, in the Australian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Mobbs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Powell </w:t>
      </w:r>
      <w:r>
        <w:rPr>
          <w:rFonts w:ascii="Times New Roman" w:hAnsi="Times New Roman" w:cs="Times New Roman"/>
          <w:color w:val="000000"/>
        </w:rPr>
        <w:t>[1965] VR 222, dealing with the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meaning of the term “duly”, is instructive. It reads thus: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“Now, it should be noticed that the relevant words in the exclusion are ‘duly authorised’. Each word is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deserving of consideration. ‘Duly’ implies that the requisite authority is that required by the circumstances of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occassion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To ‘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authorise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’ is to give formal approval to, to sanction, approve, countenance. It would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appear, therefore, that in order to rely upon the terms of the exclusion as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third party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proceedings it would be necessary for the insurer to prove that the driver did not have the requisite formal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authority to be driving the vehicle in the circumstances and for the purpose for which it was then being used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..”. 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Words and Phrases Legally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Defined</w:t>
      </w:r>
      <w:r>
        <w:rPr>
          <w:rFonts w:ascii="Times New Roman" w:hAnsi="Times New Roman" w:cs="Times New Roman"/>
          <w:color w:val="000000"/>
          <w:sz w:val="20"/>
          <w:szCs w:val="20"/>
        </w:rPr>
        <w:t>.Volume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 D–H page 123).</w:t>
      </w:r>
      <w:r w:rsidR="00E724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that case an exclusion on a policy for a motor car insurance provided,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policy did not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cover liability if the driver was not “duly” authorised under all relevant law. A vehicle covered under the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policy was damaged and the insurance company as third party in an ensuing suit pleaded the exclusion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clause.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Likewise in our case the bank’s counsel had general instructions to act for it in the suit but in the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as they obtained on the date its suit was fixed to come for a hearing, she could not possibly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perform her role as counsel in absence of her client. Her role as counsel was thus frustrated. In those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we think that it would be wrong to deem that counsel had instructions and was ready to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 with the further progress of the case for the bank.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come to the foregoing conclusion on the question of attendance, we need now to look at the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facts of this case in greater detail to ascertain the nature of the “attendance” which led to the dismissal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order. On 4 May 1998, the suit came for hearing for the first time. Counsel for the bank was present but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ready to proceed with the hearing of the case. She gave the reason that she had experienced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difficulties reaching her client. By that she meant that she had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not been instructed as to the hearing of the case by that day, and she accordingly applied for the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adjournment of the case, which application was refused even though the Appellant’s counsel did not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 to the adjournment. Whereupon the bank’s counsel indicated to the court “I will not be able to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 with our case”. From the sequence of events it is clear that counsel was not able to proceed for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lack of instructions rather than inability on her part to proceed because she was unprepared. Clearly,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therefore, it cannot be said that she was present in court, ready to proceed with the hearing of the case.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case is clearly distinguishable from the </w:t>
      </w:r>
      <w:r>
        <w:rPr>
          <w:rFonts w:ascii="Times New Roman" w:hAnsi="Times New Roman" w:cs="Times New Roman"/>
          <w:i/>
          <w:iCs/>
          <w:color w:val="000000"/>
        </w:rPr>
        <w:t xml:space="preserve">Herman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Mugachia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in which counsel for the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had specifically asked his client not to attend court. That was clearly default as it would appear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plaintiff and his counsel, contumaciously did not prepare for the hearing of their case.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Then there is the issue which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Amuga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raised with regard to the bank’s delay in applying to set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aside the dismissal order. We agree the delay was not fully explained. That notwithstanding, it was not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delay as would prejudice the Applicant beyond monetary compensation by an award of costs. The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trial Judge must have appreciated this because he ordered the bank to pay the Applicant’s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thrown away costs.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Finally, we wish to observe here that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Judge in his ruling appealed against repeatedly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talked about the non-attendance of the Plaintiff’s witness. It was not strictly the Plaintiff’s witness who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failed to attend court, but an officer of the bank. The bank is a legal person which acts through its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officers. The officers would be the ones to instruct counsel to represent it and non-attendance of the</w:t>
      </w:r>
      <w:r w:rsidR="00E724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 designated to handle a particular case on behalf of the Bank is, in law, non-attendance of the bank.</w:t>
      </w:r>
    </w:p>
    <w:p w:rsidR="00AF04F3" w:rsidRDefault="00AF04F3" w:rsidP="00AF04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result, we dismiss the appeal but make no order as to costs.</w:t>
      </w:r>
    </w:p>
    <w:p w:rsidR="00AF04F3" w:rsidRDefault="00AF04F3" w:rsidP="00AF04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AF04F3" w:rsidRDefault="00AF04F3" w:rsidP="00AF04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AF04F3" w:rsidRDefault="00AF04F3" w:rsidP="00AF04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F18BF" w:rsidRDefault="00AF04F3" w:rsidP="00AF04F3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F3"/>
    <w:rsid w:val="003F18BF"/>
    <w:rsid w:val="00AF04F3"/>
    <w:rsid w:val="00E7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66962-2EA6-4EEA-9DBA-E5DEE785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2775</Words>
  <Characters>15824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2018-07-05T10:50:00Z</dcterms:created>
  <dcterms:modified xsi:type="dcterms:W3CDTF">2018-07-13T17:45:00Z</dcterms:modified>
</cp:coreProperties>
</file>