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Odendo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February 1971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965/1970 (22/74)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Theft – General deficiency – Duty to account daily – Whether charge based on a general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deficiency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Books of account – Whether sufficient evidence – Whether other evidence led – Evidence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80),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A7AF1" w:rsidRDefault="009F1997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F1997" w:rsidRDefault="004A7AF1" w:rsidP="009F1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>The appellant was charged on two counts of stealing by a public servant contra s. 280 of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Penal Code, the first charging him with stealing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7,229/35 “on divers days between 26 January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 and 3 February 1970 . . . as a cashier in the Judicial Department . . .”, and the second charging him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similar fashion with stealing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400 .</w:t>
      </w:r>
      <w:proofErr w:type="gramEnd"/>
      <w:r>
        <w:rPr>
          <w:rFonts w:ascii="Times New Roman" w:hAnsi="Times New Roman" w:cs="Times New Roman"/>
          <w:color w:val="000000"/>
        </w:rPr>
        <w:t xml:space="preserve"> He was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on the first count, the trial magistrate obviously being satisfied that the amount was stolen and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one but the appellant could have stolen it, but he was acquitted upon the second because, in the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of the magistrate: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think I might give to the accused the benefit of the doubt because the prosecution failed to establish that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Poor Box accounts were consistently kept by the accused at the relevant time. Whilst it is clear that the main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(general) accounts were, as I have said, kept strictly under the supervision of the accused, or his directions or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information and vouchers supplied by him, there is a deficiency of evidence to establish beyond doubt that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and the accused alone was responsible for the Poor Box account book.”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set all that out in detail for two reasons, that the expression “the accused and the accused alone” shows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magistrate had the matter of circumstantial evidence well in mind, which in this appeal it was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that he had not and that it disproves the contention that the “evidence was almost identical on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counts” whereby was meant that if an acquittal was called for on one, it was also called for on the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count. In any event it by no means follows that because there was an acquittal on the second count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on the first was affected thereby; particularly so as the magistrate appears, with respect, to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misdirected himself by saying, “I </w:t>
      </w:r>
      <w:r>
        <w:rPr>
          <w:rFonts w:ascii="Times New Roman" w:hAnsi="Times New Roman" w:cs="Times New Roman"/>
          <w:i/>
          <w:iCs/>
          <w:color w:val="000000"/>
        </w:rPr>
        <w:t xml:space="preserve">might </w:t>
      </w:r>
      <w:r>
        <w:rPr>
          <w:rFonts w:ascii="Times New Roman" w:hAnsi="Times New Roman" w:cs="Times New Roman"/>
          <w:color w:val="000000"/>
        </w:rPr>
        <w:t>give to the accused the benefit of the doubt”; either there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or there was not, a case for giving the appellant its benefit.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count related to the Department’s main or general account and to understand what was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I will set out, quite shortly, the system obtaining. The cashier, that is to say the appellant,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all the Department’s money in its various forms and out of it he made certain payments for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would get a voucher or a chit. The money which he received or disbursed would be entered in a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cash book except that chits (which I may perhaps say were in the nature of semi-official documents) were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entered in it but were treated as cash in hand. The cash book would be checked against vouchers etc.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accountant and the cashier should make his check too. At any one time the money (and chits) in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 should agree with the cash book balance. Mr. </w:t>
      </w:r>
      <w:proofErr w:type="spellStart"/>
      <w:r>
        <w:rPr>
          <w:rFonts w:ascii="Times New Roman" w:hAnsi="Times New Roman" w:cs="Times New Roman"/>
          <w:color w:val="000000"/>
        </w:rPr>
        <w:t>Remedius</w:t>
      </w:r>
      <w:proofErr w:type="spellEnd"/>
      <w:r>
        <w:rPr>
          <w:rFonts w:ascii="Times New Roman" w:hAnsi="Times New Roman" w:cs="Times New Roman"/>
          <w:color w:val="000000"/>
        </w:rPr>
        <w:t xml:space="preserve"> of the Audit Department told the court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below: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agree that the accused’s cash book was kept up not by him but by another clerk. This has been the system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quite a long time. But the cash book is posted up on information received from the accused . . . a daily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balance should be stated at the end of each day. The man in charge of the cash book should strike a cash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balance at the end of the day, and agree it with the cash actually in the cashier’s possession. Such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reconciliation is agreed between the cashier and the posting clerk, appropriate payments being made into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the following day. Daily the individual items in the cash book should be checked by one of the two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accountants in the accused’s office against the vouchers held by the accused . . . he should pay into the Bank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daily all the cash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hand.”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Much has been made in this appeal (and indeed was made at the trial) about the fact that the appellant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the writer of the cash book but the foregoing shows that he was required to agree the daily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balance; and ordinarily he did so, apparently without difficulty. I will turn to the evidence again in a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moment but I think it convenient now to deal with the ground that the appeal must succeed because the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was based on a general deficiency which is insufficient for such purpose.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rule that a general deficiency will not do but there are exceptions to it. In paragraph 1476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p. 561 of the 37th edition of </w:t>
      </w:r>
      <w:proofErr w:type="spellStart"/>
      <w:r>
        <w:rPr>
          <w:rFonts w:ascii="Times New Roman" w:hAnsi="Times New Roman" w:cs="Times New Roman"/>
          <w:color w:val="000000"/>
        </w:rPr>
        <w:t>Archbold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Pleading, Evidence and Practice in Criminal Cases </w:t>
      </w:r>
      <w:r>
        <w:rPr>
          <w:rFonts w:ascii="Times New Roman" w:hAnsi="Times New Roman" w:cs="Times New Roman"/>
          <w:color w:val="000000"/>
        </w:rPr>
        <w:t>we find:</w:t>
      </w:r>
      <w:r w:rsidR="009F1997">
        <w:rPr>
          <w:rFonts w:ascii="Times New Roman" w:hAnsi="Times New Roman" w:cs="Times New Roman"/>
          <w:color w:val="000000"/>
        </w:rPr>
        <w:t xml:space="preserve"> </w:t>
      </w:r>
    </w:p>
    <w:p w:rsidR="009F1997" w:rsidRDefault="004A7AF1" w:rsidP="009F1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.exceptions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appear to be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where the separate takings are connected so as to form a continuous taking . . .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(ii) where there is a duty to pay over at stated periods a total previously received . . . In such cases it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would appear that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defendant may be indicted for the theft of the total on the day he should have handed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over the total, but failed to do so.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amount of the deficiency includes some odd cents so that, on the evidence accepted, it may or may not all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taken at one go. On the other hand a considerable amount of money disappeared in a matter of a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very few days. The fact that there was a daily duty to account does not prevent there having been a duty, both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2 and 3 February, to account for the aggregate sum then outstanding. It seems to me that we are within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two exceptions to which I have referred. But in any event the cases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R. v. Lambert </w:t>
      </w:r>
      <w:r>
        <w:rPr>
          <w:rFonts w:ascii="Times New Roman" w:hAnsi="Times New Roman" w:cs="Times New Roman"/>
          <w:color w:val="000000"/>
          <w:sz w:val="20"/>
          <w:szCs w:val="20"/>
        </w:rPr>
        <w:t>(1847), 2 Cox C.C. 309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R. v. Tomlin</w:t>
      </w:r>
      <w:r>
        <w:rPr>
          <w:rFonts w:ascii="Times New Roman" w:hAnsi="Times New Roman" w:cs="Times New Roman"/>
          <w:color w:val="000000"/>
          <w:sz w:val="20"/>
          <w:szCs w:val="20"/>
        </w:rPr>
        <w:t>, [1954] 2 Q.B. 247; [1954] 2 All E.R. 272 make it clear that the rule is one of practice only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not one of law, that it is not to be used as an engine of injustice and that the charge of an aggregate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may be in order if on a certain day there is a duty to account for it. In the instant case on the lower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court’s findings the amount concerned came into the appellant’s hands and he misappropriated it. As I see it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must use the general deficiency if one is to obtain justice in the circumstances obtaining. With regard to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use of the word “cash” in the charge – I did not mention this at the beginning of the judgment – it is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argued that it cannot be said that it was cash which was taken but we have evidence that in the period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concerned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banked but cash was not and it seems to me correct to infer that it was bank notes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coins which were stolen rather than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 figures given at the trial support this, or so I believe. In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event I do not think that it can be said that the prosecution limited themselves to bank notes and coins.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the system obtaining there was no real differentiation between them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Certainly was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in no doubt about the case which he had to meet and it cannot be said that he was prejudiced in any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way. It is not I think unfair to say that the only person who is able in so many words to say how much, in what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form and when the money was taken is the appellant though the balances spoken about by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 a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clue thereto. I think it would have been more correct to have charged the offence as having taken place on 2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3 February – see Tomlin’s case; indeed it would have been best, as I think, to have had more than one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 in view of the duty to account day by day, but s. 382 of the Criminal Procedure Code is to be applied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there was no prejudice in any case. Of course, under s. 137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Code a gross amount may be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specified in a case such as that put against the appellant.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said that a conviction cannot in any event be sustained because of s. 37 of the Evidence Act but if one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applies the section to the facts of this case it is of no avail to the appellant for, whatever shortcomings there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possibly have been, the books were kept in the ordinary course of business – I am assuming that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financial affairs of the department are a “business” – and the prosecution consisted in more than the mere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presentation of account books to which no one could speak. There was, for instance, the evidence of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writer of the books, the evidence of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so on. The prosecution did not rely on “entries . . . alone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proofErr w:type="gramEnd"/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a spot check was carried out on 3 February, a deficiency in the sum mentioned in the first count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following a check, thrown up. But the appellant would not admit liability for it mainly, I think it fair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say, on the ground that as he did not keep the books himself he would not know if they were right or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wrong. But in the ordinary course of events he made his checks daily and no difficulty or error appears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 before to have arisen – at least there is no evidence to that effect – and one may not unfairly ask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why, on this occasion, with so much at stake he could not expose the error which, on his case, there had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be.</w:t>
      </w:r>
      <w:r w:rsidR="009F1997">
        <w:rPr>
          <w:rFonts w:ascii="Times New Roman" w:hAnsi="Times New Roman" w:cs="Times New Roman"/>
          <w:color w:val="000000"/>
        </w:rPr>
        <w:t xml:space="preserve"> </w:t>
      </w:r>
    </w:p>
    <w:p w:rsidR="004A7AF1" w:rsidRDefault="004A7AF1" w:rsidP="009F1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told the court: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first entry made for the day would be from pay-in slips, then the receipts would be posted from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receipt vouchers. At the end of the day the receipt vouchers would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totalled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compared with the total of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payment vouchers, and a balance would be struck. After balancing, all the cash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placed in a voucher box which was deposited in my safe in my cubicle. It would be banked at about 10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o’clock the following morning . . . It is difficult to check this cash book without having the supporting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vouchers.”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But there should have been no difficulty at all; the supporting vouchers etc. should have been there or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readily available. And though the appellant says that he was not given any opportunity to verify the cash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book entries against their original vouchers, he admits that the relevant vouchers were kept in his cubicle.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Yunis</w:t>
      </w:r>
      <w:proofErr w:type="spellEnd"/>
      <w:r>
        <w:rPr>
          <w:rFonts w:ascii="Times New Roman" w:hAnsi="Times New Roman" w:cs="Times New Roman"/>
          <w:color w:val="000000"/>
        </w:rPr>
        <w:t>, the chief accountant, told the court: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accused . . . broke the seals himself . . . The accused, my accountant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started to check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cash and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safe and drawer . . . I told the accused to investigate further and explain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discrepancies if he could . . . I asked the accused if he agreed the shortage but he did not agree the figures or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there was any shortage, and gave no explanation of the apparent discrepancy. He was present throughout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when the cash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his possession were counted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totalled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 . I agree I can't speak directly to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accuracy of the figures drawn from the cash book by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But the accused was given every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opportunity, with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to reconcile the figures in his cash book with the cash balance.”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Mr.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>, speaking of the check made on 3 February told the court about what was done. He said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accused: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. took out all the money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safe and drawer . . . The accused was standing by us in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cubicle . . . and then we started checking the accused’s cash book and vouchers. When I say ‘we’ I mean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Chief Accountant and myself to see whether they balanced against the cash in hand.”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Pausing there I stress the words “cash book and vouchers”. He went on: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started to check from 26 January this year because that was the last occasion on which the accused had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banked . . . The deficiency between the cash book figures and the cash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etc. in hand amounted to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7,229/35. The accused was informed of this shortage and was given the books to check himself . . . The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checked the books himself in my office . . . He could find no error in our calculations and their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results. He gave no explanation of the two deficiencies . . .”</w:t>
      </w:r>
      <w:r w:rsidR="009F19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evidence of Mr.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was subjected to detailed examination and probing as to where the cash box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whether the chits were in the drawer and so on, but everything needed was there or thereabouts, the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would know what, if anything, was needed for checking purposes, his whole future depended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him accounting for the deficiency and if Mr.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is to be believed, and the magistrate did believe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him, the appellant “could find no error” and “gave no explanation”.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in mind the system obtaining, if the cash and chits in hand did not agree with the cash book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balances on or other or both of them were wrong. A check was made and the balances in the cash book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verified. It would therefore be the money which the appellant had which was short of the amount which it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been. The only person who could have had, and could account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for, the deficiency was the appellant. He did not explain and he did not produce, nor did he try to explain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 did he produce it. I am unable to say that there was not admissible evidence upon which a conviction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properly have been entered. The magistrate relied a good deal on the appellant’s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and this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this appeal. I do not think that the magistrate was wrong to have borne the matter in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mind. If one considers that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, as one is entitled to, within the rule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Rafaeri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(1953),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 E.A.C.A. 226, the case against the appellant is yet stronger. Finally it is said that the magistrate moved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burden of proof from the shoulders of the prosecutor to those of the appellant but in my respectful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he did not. With some regret, for I am dealing with a member of this department who has such a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 period of service with Government, I can do nothing other than dismiss the appeal against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had some sympathy for the appellant which he manifested when he sentenced him. I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shall nonetheless vary the sentence he awarded, i.e. the fine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12,229/35 with 6 months’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in default of its payment for two reasons, that it is better if not fairer when compensation is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ordered to award it as such rather than as part of a fine and that no useful purpose was served by a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penalty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5,000/- which in the circumstances, and bearing in mind the offence which the appellant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committed, he might be unable to pay. It will be remembered that he absented himself on 2 February and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can at least suggest that if he had had the money at that time he would have brought it on 3 February.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all that the appellant stands to lose and bearing in mind that the judgment was given some months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ago and the offence was committed more than a year ago no punishment such as a binding over appears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needed. I set aside the fine and its default sentence and in its place I order the appellant to pay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compensation to the complainant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7,229/35. This is a punishment: see s. 24 of the Penal</w:t>
      </w:r>
      <w:r w:rsidR="009F1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Code. To this extent alone does the appeal against sentence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color w:val="000000"/>
        </w:rPr>
        <w:t>succeed.</w:t>
      </w:r>
      <w:proofErr w:type="gramEnd"/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</w:p>
    <w:p w:rsidR="004A7AF1" w:rsidRDefault="004A7AF1" w:rsidP="004A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4A7AF1" w:rsidP="004A7AF1">
      <w:r>
        <w:rPr>
          <w:rFonts w:ascii="Times New Roman" w:hAnsi="Times New Roman" w:cs="Times New Roman"/>
          <w:i/>
          <w:iCs/>
          <w:color w:val="000000"/>
        </w:rPr>
        <w:t xml:space="preserve">WKN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F1"/>
    <w:rsid w:val="004A7AF1"/>
    <w:rsid w:val="00664035"/>
    <w:rsid w:val="009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B1419-276C-49F6-9C13-DF835DFD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2018-07-05T12:59:00Z</dcterms:created>
  <dcterms:modified xsi:type="dcterms:W3CDTF">2018-07-13T17:47:00Z</dcterms:modified>
</cp:coreProperties>
</file>