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Odeyo v Republic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Mombasa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January 2006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6/05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Tunoi, O’kubasu and Waki JJA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Kibet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Calling of witnesses – Discretion of prosecution – Failure to call material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witnesses – Whether failure to call witnesses rendered conviction unsafe.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Confessions – Retracted confessions – Corroboration – Whether a court could convict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on an uncorroborated confession.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Identification – Quality of light present during the incident – Whether the identification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of the appellant was satisfactory.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E1A03" w:rsidRDefault="00EF7CAB" w:rsidP="008E1A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charged before the Chief Magistrate’s Court on a count of robbery with violence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 296(2) of the Penal Code and two counts of being in unlawful possession of a firearm.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was adduced at his trial to the effect that on the material day, the complainant had stopped at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Kengeleni junction to drop two passengers. Suddenly, he had been accosted by a person who came to his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window as if to speak to him, produced a gun and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him to surrender everything he had. The complainant was able to swing his door open and cause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 to stagger backwards whereupon they engaged in a struggle. After initially being subdued and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to hand over his wallet, the complainant went after the assailant again and struggled with him until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Kenya Air Force bus came by and some officers came to his rescue. The officers arrested the assailant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took him to Makupa police station. At the station he was searched and the wallet and watch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belonging to the complainant were recovered. The two passengers that the complainant had been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dropping also testified corroborating his account and adding that the area was well lit. It also emerged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 had, on 1 September 2001, made a charge and caution statement to a Police Inspector in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admitted robbing the complainant but that he now retracted. After a trial within a trial, the trial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admitted the statement in evidence.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convicted him on all three counts. The appellant’s first appeal was dismissed. He now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Court of Appeal on the grounds that the identification was unsatisfactory, that the Kenya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Air Force officers who arrested the appellant were not called to testify and that the trial magistrate erred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relying on a cautionary statement that was retracted.</w:t>
      </w:r>
      <w:r w:rsidR="008E1A03">
        <w:rPr>
          <w:rFonts w:ascii="Times New Roman" w:hAnsi="Times New Roman" w:cs="Times New Roman"/>
          <w:color w:val="000000"/>
        </w:rPr>
        <w:t xml:space="preserve"> </w:t>
      </w:r>
    </w:p>
    <w:p w:rsidR="008E1A03" w:rsidRDefault="008E1A03" w:rsidP="008E1A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E1A03" w:rsidRDefault="00EF7CAB" w:rsidP="008E1A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evidence of the complainant was corroborated by the two passengers he had been dropping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 who had testified that the area had been well lit and that they had been able to see the appellant. The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mistaken identity did not therefore arise.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 had the discretion to call or not to call someone as a witness. Where it did not call a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vital reliable person without a satisfactory explanation, the court could presume that the person’s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would have been unfavourable to the prosecution; </w:t>
      </w:r>
      <w:r>
        <w:rPr>
          <w:rFonts w:ascii="Times New Roman" w:hAnsi="Times New Roman" w:cs="Times New Roman"/>
          <w:i/>
          <w:iCs/>
          <w:color w:val="000000"/>
        </w:rPr>
        <w:t xml:space="preserve">Ngodia v Republic </w:t>
      </w:r>
      <w:r>
        <w:rPr>
          <w:rFonts w:ascii="Times New Roman" w:hAnsi="Times New Roman" w:cs="Times New Roman"/>
          <w:color w:val="000000"/>
        </w:rPr>
        <w:t>[1982-1988] 1 KAR 454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applied. In this instance, the failure by the prosecution to call the Kenya Air Force officers did not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weaken the prosecution case nor did it prejudice the appellant in any manner.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trial magistrate decided that a statement was voluntary and admissible, he was bound to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 the statement with caution and was obliged to be fully satisfied that it was true or corroborated in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material particulars before founding a conviction on it; </w:t>
      </w:r>
      <w:r>
        <w:rPr>
          <w:rFonts w:ascii="Times New Roman" w:hAnsi="Times New Roman" w:cs="Times New Roman"/>
          <w:i/>
          <w:iCs/>
          <w:color w:val="000000"/>
        </w:rPr>
        <w:t xml:space="preserve">Tuwamoi v Uganda </w:t>
      </w:r>
      <w:r>
        <w:rPr>
          <w:rFonts w:ascii="Times New Roman" w:hAnsi="Times New Roman" w:cs="Times New Roman"/>
          <w:color w:val="000000"/>
        </w:rPr>
        <w:t>[1967] EA 84 at 88</w:t>
      </w:r>
      <w:r>
        <w:rPr>
          <w:rFonts w:ascii="Times New Roman" w:hAnsi="Times New Roman" w:cs="Times New Roman"/>
          <w:i/>
          <w:iCs/>
          <w:color w:val="000000"/>
        </w:rPr>
        <w:t>, Swai v</w:t>
      </w:r>
      <w:r w:rsidR="008E1A0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 xml:space="preserve">[1974] EA 1974 and </w:t>
      </w:r>
      <w:r>
        <w:rPr>
          <w:rFonts w:ascii="Times New Roman" w:hAnsi="Times New Roman" w:cs="Times New Roman"/>
          <w:i/>
          <w:iCs/>
          <w:color w:val="000000"/>
        </w:rPr>
        <w:t xml:space="preserve">Bakari Omari v Republic </w:t>
      </w:r>
      <w:r>
        <w:rPr>
          <w:rFonts w:ascii="Times New Roman" w:hAnsi="Times New Roman" w:cs="Times New Roman"/>
          <w:color w:val="000000"/>
        </w:rPr>
        <w:t>[1982-1988] 1 KAR 349 followed.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Corroboration was not however, necessary in law and a court could act on a confession alone if it was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fully satisfied, after considering all the material points and surrounding circumstances, that the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 could not but be true. In this instance, there was ample corroboration of all the material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and the prosecution had proved that the appellant robbed the complainant of his property and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 actual violence on his person.</w:t>
      </w:r>
      <w:r w:rsidR="008E1A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  <w:r w:rsidR="008E1A03">
        <w:rPr>
          <w:rFonts w:ascii="Times New Roman" w:hAnsi="Times New Roman" w:cs="Times New Roman"/>
          <w:color w:val="000000"/>
        </w:rPr>
        <w:t xml:space="preserve"> </w:t>
      </w:r>
    </w:p>
    <w:p w:rsidR="00EF7CAB" w:rsidRDefault="00EF7CAB" w:rsidP="008E1A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257 of [2006] 2 EA 255 (CAK)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Bakari Omari v Republic </w:t>
      </w:r>
      <w:r>
        <w:rPr>
          <w:rFonts w:ascii="Times New Roman" w:hAnsi="Times New Roman" w:cs="Times New Roman"/>
          <w:color w:val="000000"/>
        </w:rPr>
        <w:t xml:space="preserve">[1982-1988] 1 KAR 349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Ngodia v Republic </w:t>
      </w:r>
      <w:r>
        <w:rPr>
          <w:rFonts w:ascii="Times New Roman" w:hAnsi="Times New Roman" w:cs="Times New Roman"/>
          <w:color w:val="000000"/>
        </w:rPr>
        <w:t xml:space="preserve">[1982-1988] 1 KAR 454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Swai v Republic </w:t>
      </w:r>
      <w:r>
        <w:rPr>
          <w:rFonts w:ascii="Times New Roman" w:hAnsi="Times New Roman" w:cs="Times New Roman"/>
          <w:color w:val="000000"/>
        </w:rPr>
        <w:t xml:space="preserve">[1974] EA 1974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F7CAB" w:rsidRDefault="00EF7CAB" w:rsidP="00EF7C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Toyi v R </w:t>
      </w:r>
      <w:r>
        <w:rPr>
          <w:rFonts w:ascii="Times New Roman" w:hAnsi="Times New Roman" w:cs="Times New Roman"/>
          <w:color w:val="000000"/>
        </w:rPr>
        <w:t>[1960] EA 761</w:t>
      </w:r>
    </w:p>
    <w:p w:rsidR="00AB7022" w:rsidRDefault="00EF7CAB" w:rsidP="00EF7CAB">
      <w:r>
        <w:rPr>
          <w:rFonts w:ascii="Times New Roman" w:hAnsi="Times New Roman" w:cs="Times New Roman"/>
          <w:i/>
          <w:iCs/>
          <w:color w:val="000000"/>
        </w:rPr>
        <w:t xml:space="preserve">Tuwamoi v Uganda </w:t>
      </w:r>
      <w:r>
        <w:rPr>
          <w:rFonts w:ascii="Times New Roman" w:hAnsi="Times New Roman" w:cs="Times New Roman"/>
          <w:color w:val="000000"/>
        </w:rPr>
        <w:t xml:space="preserve">[1967] EA 84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AB"/>
    <w:rsid w:val="008E1A03"/>
    <w:rsid w:val="00AB7022"/>
    <w:rsid w:val="00E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12863-CAC5-47F9-B141-0BF57C5E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2018-07-05T08:32:00Z</dcterms:created>
  <dcterms:modified xsi:type="dcterms:W3CDTF">2018-07-13T17:47:00Z</dcterms:modified>
</cp:coreProperties>
</file>