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Ombogo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Standard Chartered Bank of Kenya Ltd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July 2000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162/99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Advocate dying intestate – Client account – Who should manage client account.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Succession – Legal Notice Number 279 of 1995 made under the Advocates Act to provide for the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management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deceased advocate’s law firm – Whether Legal Notice Number 279 of 1995 was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inconsistent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the Law of Succession Act – Section 45(1) – Law of Succession Act.</w:t>
      </w:r>
    </w:p>
    <w:p w:rsidR="008A6474" w:rsidRDefault="008A6474" w:rsidP="008A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8A6474" w:rsidRDefault="008A6474" w:rsidP="008A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8A6474" w:rsidRDefault="00BD640D" w:rsidP="008A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8A647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This</w:t>
      </w:r>
      <w:proofErr w:type="gramEnd"/>
      <w:r>
        <w:rPr>
          <w:rFonts w:ascii="Times New Roman" w:hAnsi="Times New Roman" w:cs="Times New Roman"/>
          <w:color w:val="000000"/>
        </w:rPr>
        <w:t xml:space="preserve"> matter concerned two bank accounts, “office” and “client”, maintained by a deceased advocate. The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died on 5 July 1995. Sometime after the death of the deceased, the Law Society of Kenya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(“LSK”) sent a letter to the deceased’s bank advising the bank not to deal with the two accounts until the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LSK chairman appointed two advocates to manage the said accounts while winding up the deceased’s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firm under Legal Notice Number 279 of 1995. Thereafter, the bank received another letter from the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of the administrators of the estate of the deceased, informing the bank that it was the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administrators and not the LSK who had the right to manage the accounts under the Law of Succession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(Chapter 160).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filed interpleader proceedings under Order 33, Rule 1 of the Civil Procedure Rules for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who between the LSK and the administrators should manage the accounts. The LSK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under Legal Notice Number 279 of 1995 the LSK Chairman was entitled to nominate two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and oversee the winding up of the firm. The administrators contended that the Legal Notice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inconsistent with the Law of Succession Act and in any event, it could not apply retrospectively,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come into force before the death of the advocate.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decided that the Legal Notice was not inconsistent with the Law of Succession Act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administrators appealed.</w:t>
      </w:r>
      <w:r w:rsidR="008A6474">
        <w:rPr>
          <w:rFonts w:ascii="Times New Roman" w:hAnsi="Times New Roman" w:cs="Times New Roman"/>
          <w:color w:val="000000"/>
        </w:rPr>
        <w:t xml:space="preserve"> </w:t>
      </w:r>
    </w:p>
    <w:p w:rsidR="008A6474" w:rsidRDefault="008A6474" w:rsidP="008A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D640D" w:rsidRDefault="00BD640D" w:rsidP="008A6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Advocates Act (Chapter 16) and the Law Society Act (Chapter 18) are geared to ensuring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 conduct of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advocates and could not be extended to cover the legal practice itself after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advocate has died.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estate of a deceased advocate included money held in trust for his clients, hence the client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was within the scope of the Law of Succession Act (section 46 of the Act). The Law of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Succession Act did not distinguish between different categories of persons to whom it applied.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 property connoted not only the personal property of the deceased, but also all the property which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his possession or control or under his power, and the disposal of which would legally have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his authority, but for his death. That included money held in a “client account”. Legal Notice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279 of 1995 was therefore in conflict with the Law of Succession Act.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 The issue whether Legal Notice 279 of 1995 was retrospective or not was not</w:t>
      </w:r>
      <w:r w:rsidR="008A64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because the court found it unnecessary to do so in view of its main finding.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Patel v Republic </w:t>
      </w:r>
      <w:r>
        <w:rPr>
          <w:rFonts w:ascii="Times New Roman" w:hAnsi="Times New Roman" w:cs="Times New Roman"/>
          <w:color w:val="000000"/>
        </w:rPr>
        <w:t>[1968] EA 97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BD640D" w:rsidRDefault="00BD640D" w:rsidP="00BD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Carson and another </w:t>
      </w:r>
      <w:r>
        <w:rPr>
          <w:rFonts w:ascii="Times New Roman" w:hAnsi="Times New Roman" w:cs="Times New Roman"/>
          <w:color w:val="000000"/>
        </w:rPr>
        <w:t>[1964] All ER 681</w:t>
      </w:r>
    </w:p>
    <w:p w:rsidR="003F18BF" w:rsidRDefault="00BD640D" w:rsidP="00BD640D">
      <w:r>
        <w:rPr>
          <w:rFonts w:ascii="Times New Roman" w:hAnsi="Times New Roman" w:cs="Times New Roman"/>
          <w:color w:val="000080"/>
        </w:rPr>
        <w:t>Page 483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0D"/>
    <w:rsid w:val="003F18BF"/>
    <w:rsid w:val="008A6474"/>
    <w:rsid w:val="00B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FBD68-316C-453A-9EC1-923A6590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2018-07-05T10:50:00Z</dcterms:created>
  <dcterms:modified xsi:type="dcterms:W3CDTF">2018-07-13T17:58:00Z</dcterms:modified>
</cp:coreProperties>
</file>