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0BB" w:rsidRDefault="00AE50BB" w:rsidP="00AE5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Onama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National Insurance Corporation</w:t>
      </w:r>
    </w:p>
    <w:p w:rsidR="00AE50BB" w:rsidRDefault="00AE50BB" w:rsidP="00AE5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Uganda at Kampala</w:t>
      </w:r>
    </w:p>
    <w:p w:rsidR="00AE50BB" w:rsidRDefault="00AE50BB" w:rsidP="00AE5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30 January 1974</w:t>
      </w:r>
    </w:p>
    <w:p w:rsidR="00AE50BB" w:rsidRDefault="00AE50BB" w:rsidP="00AE5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1166/1973 (70/74)</w:t>
      </w:r>
    </w:p>
    <w:p w:rsidR="00AE50BB" w:rsidRDefault="00AE50BB" w:rsidP="00AE5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Kakooza Ag J</w:t>
      </w:r>
    </w:p>
    <w:p w:rsidR="00AE50BB" w:rsidRDefault="00AE50BB" w:rsidP="00AE5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AE50BB" w:rsidRDefault="00AE50BB" w:rsidP="00AE5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Insurance – Motor Insurance – Nominal defendant – May be sued only when vehicle uninsured and</w:t>
      </w:r>
    </w:p>
    <w:p w:rsidR="00AE50BB" w:rsidRDefault="00AE50BB" w:rsidP="00AE5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neither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owner nor driver identified – Traffic and Road Safety Act </w:t>
      </w:r>
      <w:r>
        <w:rPr>
          <w:rFonts w:ascii="Times New Roman" w:hAnsi="Times New Roman" w:cs="Times New Roman"/>
          <w:color w:val="000000"/>
        </w:rPr>
        <w:t xml:space="preserve">1970, </w:t>
      </w:r>
      <w:r>
        <w:rPr>
          <w:rFonts w:ascii="Times New Roman" w:hAnsi="Times New Roman" w:cs="Times New Roman"/>
          <w:i/>
          <w:iCs/>
          <w:color w:val="000000"/>
        </w:rPr>
        <w:t xml:space="preserve">s. </w:t>
      </w:r>
      <w:r>
        <w:rPr>
          <w:rFonts w:ascii="Times New Roman" w:hAnsi="Times New Roman" w:cs="Times New Roman"/>
          <w:color w:val="000000"/>
        </w:rPr>
        <w:t>44 (</w:t>
      </w:r>
      <w:r>
        <w:rPr>
          <w:rFonts w:ascii="Times New Roman" w:hAnsi="Times New Roman" w:cs="Times New Roman"/>
          <w:i/>
          <w:iCs/>
          <w:color w:val="000000"/>
        </w:rPr>
        <w:t>U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D70F69" w:rsidRDefault="00D70F69" w:rsidP="00D7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D70F69" w:rsidRDefault="00D70F69" w:rsidP="00D7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Kakooza Ag J: </w:t>
      </w:r>
      <w:r>
        <w:rPr>
          <w:rFonts w:ascii="Times New Roman" w:hAnsi="Times New Roman" w:cs="Times New Roman"/>
          <w:color w:val="000000"/>
        </w:rPr>
        <w:t>In the substantive suit which came before me, the plaintiff, having been granted letters</w:t>
      </w:r>
    </w:p>
    <w:p w:rsidR="00D70F69" w:rsidRDefault="00D70F69" w:rsidP="00D70F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of</w:t>
      </w:r>
      <w:proofErr w:type="gramEnd"/>
      <w:r>
        <w:rPr>
          <w:rFonts w:ascii="Times New Roman" w:hAnsi="Times New Roman" w:cs="Times New Roman"/>
          <w:color w:val="000000"/>
        </w:rPr>
        <w:t xml:space="preserve"> administration on 10 May 1973, brought action, as the administrator of the estate of the late Lt. Martin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Kenyi</w:t>
      </w:r>
      <w:proofErr w:type="spellEnd"/>
      <w:r>
        <w:rPr>
          <w:rFonts w:ascii="Times New Roman" w:hAnsi="Times New Roman" w:cs="Times New Roman"/>
          <w:color w:val="000000"/>
        </w:rPr>
        <w:t>, against the defendant for the benefit of the members of the family of the deceased under ss. 7 and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8 of the Law Reform (Miscellaneous Provisions) Act (Cap. 14).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cause of action arises out of a collision between the deceased’s car and a Land Rover, Reg. No.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E.2692, which was being driven by one Leonard </w:t>
      </w:r>
      <w:proofErr w:type="spellStart"/>
      <w:r>
        <w:rPr>
          <w:rFonts w:ascii="Times New Roman" w:hAnsi="Times New Roman" w:cs="Times New Roman"/>
          <w:color w:val="000000"/>
        </w:rPr>
        <w:t>Bugonga</w:t>
      </w:r>
      <w:proofErr w:type="spellEnd"/>
      <w:r>
        <w:rPr>
          <w:rFonts w:ascii="Times New Roman" w:hAnsi="Times New Roman" w:cs="Times New Roman"/>
          <w:color w:val="000000"/>
        </w:rPr>
        <w:t>, now dead, along Kampala/Entebbe Road, on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17 February 1973.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At the opening of the hearing, Mr. </w:t>
      </w:r>
      <w:proofErr w:type="spellStart"/>
      <w:r>
        <w:rPr>
          <w:rFonts w:ascii="Times New Roman" w:hAnsi="Times New Roman" w:cs="Times New Roman"/>
          <w:color w:val="000000"/>
        </w:rPr>
        <w:t>Bamuturaki</w:t>
      </w:r>
      <w:proofErr w:type="spellEnd"/>
      <w:r>
        <w:rPr>
          <w:rFonts w:ascii="Times New Roman" w:hAnsi="Times New Roman" w:cs="Times New Roman"/>
          <w:color w:val="000000"/>
        </w:rPr>
        <w:t>, for the defendant, made a preliminary objection. 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that the suit was bad in law and misconceived in that it is brought against the defendant as a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nominal defendant when the driver of the vehicle is known. He referred to s. 44 (1)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of the Traffic and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Road Safety Act 1970 which says: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“44. (1) Where the death of or bodily injury to any person is caused by or through or in connection with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use of a motor vehicle, trailer or engineering plant, and,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........................................; or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the vehicle is an uninsured motor vehicle, trailer or engineering plant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the identity of the owner or driver cannot be established after reasonable inquiries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have been made,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any person who could have obtained a judgment against the owner or driver of the motor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vehicle, trailer or engineering plant in respect of that death or bodily injury may obtain against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nominal defendant the judgment which in the circumstances he could have obtained against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owner or driver of the motor-vehicle, trailer or engineering plant.”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On the strength of these provisions, counsel submitted that the nominal defendant can be sued only when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vehicle is uninsured and when the owner or driver thereof is not found. In this suit, the driver was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known to the plaintiff, accordingly, the plaintiff had no option to sue the nominal defendant; even if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driver was dead, as here, the plaintiff could sue the driver’s estate.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further referred to s. 45 (1)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of the Traffic and Road Safety Act, which says: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“45. (1)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Where ....................................................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......................................; and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the death or bodily injury is one against liability for which the owner or driver or other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person would have been indemnified if there had been in force in respect of that motor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vehicle, trailer or engineering plant a contract of insurance under this Part of this Act,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then, subject to the provisions of this section, the amount of any judgment obtained by any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person against the owner or driver or other person in respect of the death or bodily injury shall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 paid to that person by the nominal defendant.”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Counsel put emphasis on the phrase “. . . the amount of any judgment” in s. 45 (1)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and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that s.44 (1)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), read together with s. 45 (1)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), has the inescapable meaning that the nominal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 can be sued only if the vehicle is uninsured and the driver is not known.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this first point of law, Mr. </w:t>
      </w:r>
      <w:proofErr w:type="spellStart"/>
      <w:r>
        <w:rPr>
          <w:rFonts w:ascii="Times New Roman" w:hAnsi="Times New Roman" w:cs="Times New Roman"/>
          <w:color w:val="000000"/>
        </w:rPr>
        <w:t>Bamuturaki</w:t>
      </w:r>
      <w:proofErr w:type="spellEnd"/>
      <w:r>
        <w:rPr>
          <w:rFonts w:ascii="Times New Roman" w:hAnsi="Times New Roman" w:cs="Times New Roman"/>
          <w:color w:val="000000"/>
        </w:rPr>
        <w:t xml:space="preserve"> submitted, the suit was misconceived under s. 44 (1)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premature under s. 45 (1)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), premature because the driver being known, the plaintiff should go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against him first. In passing, counsel pointed out that s. 45 speaks of s. 35 of the same Act.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Mr. </w:t>
      </w:r>
      <w:proofErr w:type="spellStart"/>
      <w:r>
        <w:rPr>
          <w:rFonts w:ascii="Times New Roman" w:hAnsi="Times New Roman" w:cs="Times New Roman"/>
          <w:color w:val="000000"/>
        </w:rPr>
        <w:t>Kulubya</w:t>
      </w:r>
      <w:proofErr w:type="spellEnd"/>
      <w:r>
        <w:rPr>
          <w:rFonts w:ascii="Times New Roman" w:hAnsi="Times New Roman" w:cs="Times New Roman"/>
          <w:color w:val="000000"/>
        </w:rPr>
        <w:t>, for the plaintiff, contended that counsel for the defendant had deviated from his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pleadings in his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by pleading s. 45 (1)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and that as he had no notice of these pleadings, they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should be struck out. Regarding s. 44 (1)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), counsel put emphasis on the “or” between ss. 44 (1) 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and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44 (1)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and the “or” between “owner” and “driver” and the phrase “. . . identity of owner or driver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cannot be established”. He argued that the “or” should be </w:t>
      </w:r>
      <w:proofErr w:type="spellStart"/>
      <w:r>
        <w:rPr>
          <w:rFonts w:ascii="Times New Roman" w:hAnsi="Times New Roman" w:cs="Times New Roman"/>
          <w:color w:val="000000"/>
        </w:rPr>
        <w:t>interpretated</w:t>
      </w:r>
      <w:proofErr w:type="spellEnd"/>
      <w:r>
        <w:rPr>
          <w:rFonts w:ascii="Times New Roman" w:hAnsi="Times New Roman" w:cs="Times New Roman"/>
          <w:color w:val="000000"/>
        </w:rPr>
        <w:t xml:space="preserve"> to mean “and” in the sense that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one did not have to fail to identify both owner and driver but failure to identify one of them would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qualify one to go against the nominal defendant. Referring to the plaint, paragraph 7, counsel pointed out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motor vehicle driven by the driver was uninsured and that the plaintiff had taken all reasonable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steps to trace the owner of the motor-vehicle but in vain. Counsel added that he was putting emphasis on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lack of insurance and owner but not on driver and that that was why he submitted that failure to find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either owner or driver entitled one to go against the nominal defendant.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Regarding s. 45, Mr. </w:t>
      </w:r>
      <w:proofErr w:type="spellStart"/>
      <w:r>
        <w:rPr>
          <w:rFonts w:ascii="Times New Roman" w:hAnsi="Times New Roman" w:cs="Times New Roman"/>
          <w:color w:val="000000"/>
        </w:rPr>
        <w:t>Kulubya</w:t>
      </w:r>
      <w:proofErr w:type="spellEnd"/>
      <w:r>
        <w:rPr>
          <w:rFonts w:ascii="Times New Roman" w:hAnsi="Times New Roman" w:cs="Times New Roman"/>
          <w:color w:val="000000"/>
        </w:rPr>
        <w:t xml:space="preserve"> submitted that this was a section which assumed that one had been able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identify the owner or driver. He again submitted that the “or” between </w:t>
      </w:r>
      <w:r>
        <w:rPr>
          <w:rFonts w:ascii="Times New Roman" w:hAnsi="Times New Roman" w:cs="Times New Roman"/>
          <w:color w:val="000000"/>
        </w:rPr>
        <w:lastRenderedPageBreak/>
        <w:t>“owner” and “driver” therein,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should be interpreted to mean “and”. He added that as this section envisages a court action first, he</w:t>
      </w:r>
      <w:r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could not see how it could be read together with s. 44 (1)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and if in conflict, which of the two would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prevail. Counsel argued that s. 35 talks about settling, a stage that had not been reached. As the pleadings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ss. 45 and 35 had taken him unaware, counsel for the defendant should not be allowed to plead them.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should stand or fall by s. 44 (1)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 xml:space="preserve">) already pleaded in his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submission of counsel for the plaintiff that the “or” should mean “and”, he submitted that as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plaintiff had no remedy under s. 44 (1) 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), the “or” between the two clauses did not affect clause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alone, the “or” could not mean “and”. The words should be given their natural meaning and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meaning attached by counsel for the plaintiff was not supportable.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submitted that there are three categories of circumstances under which the nominal defendant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may be sued: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where identity of the motor-vehicle cannot be found physically;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where the motor-vehicle is identified but is uninsured and, on top of that, the driver or owner cannot be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traced;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) where, under section 45 (1)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), judgment is not satisfied.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Accordingly, he submitted, where, as here the driver is known, it would be making s. 44 (1)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absurd, if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plaintiff left the driver alone and went against the nominal defendant. He could do this only if both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owner and driver were not there.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the submissions of both counsel, the following appear to me to be the issues: is the suit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maintainable under s. 44 (1)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)?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First of all, of the three categories of circumstances, ably </w:t>
      </w:r>
      <w:proofErr w:type="spellStart"/>
      <w:r>
        <w:rPr>
          <w:rFonts w:ascii="Times New Roman" w:hAnsi="Times New Roman" w:cs="Times New Roman"/>
          <w:color w:val="000000"/>
        </w:rPr>
        <w:t>analysed</w:t>
      </w:r>
      <w:proofErr w:type="spellEnd"/>
      <w:r>
        <w:rPr>
          <w:rFonts w:ascii="Times New Roman" w:hAnsi="Times New Roman" w:cs="Times New Roman"/>
          <w:color w:val="000000"/>
        </w:rPr>
        <w:t xml:space="preserve"> by counsel for the defendant, under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action may be brought against the nominal defendant, only category two is relevant in this suit.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first issue will therefore be decided solely on that basis. Under this category, which is s. 44 (1)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),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judgment may be obtained against the nominal defendant on two conditions, namely, the motor-vehicle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must be uninsured at the time of the cause of action and secondly, the identity of the owner or driver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must not have been established after reasonable inquiries have been made by the plaintiff.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Now, it is not disputed by either party, and it is clearly pleaded in the plaint, that the land rover was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uninsured. The first condition is therefore satisfied. But the second condition must also be satisfied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before judgment can be obtained against the nominal defendant.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relation to this second condition, counsel for the defendant submitted that once the plaintiff has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established the identity of either the owner or driver, then, he cannot go against the nominal defendant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but against that owner or driver as the case may be. That is to say, the nominal defendant can only be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sued if both owner and driver are not identified. Plaintiff’s counsel, on the other hand, said that he was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putting emphasis on lack of insurance and owner but not on driver. He further submitted that the “or”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between “owner” and “driver” should be interpreted to mean “and” in the sense that one did not have to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fail to identify both owner and driver in order to satisfy the second condition but failure to identify one of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them would suffice.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seems to me that s. 44 (1)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covers two situations: first, where the vehicle is being driven by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owner himself and secondly, where the vehicle is being driven by a person other than the owner. In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first situation, the plaintiff, in order to be entitled to bring action against the nominal defendant, would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to have made reasonable inquiries regarding the identity of the owner in vain. In the second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situation, the plaintiff would have to have made reasonable inquiries regarding the identity of both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owner and driver in vain in both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cases. Once the plaintiff succeeds in identifying either the owner or the driver, then the second condition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not satisfied and accordingly no judgment, under s. 44 (1)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), can be obtained against the nominal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present suit falls under the second situation above.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rule, therefore, that the suit, having failed to satisfy both conditions under s. 44 (1)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), is not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maintainable under that section. The suit is therefore dismissed with costs to defendant.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Order accordingly.</w:t>
      </w:r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plaintiff:</w:t>
      </w:r>
    </w:p>
    <w:p w:rsidR="00D70F69" w:rsidRDefault="00D70F69" w:rsidP="00D7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Kulubya</w:t>
      </w:r>
      <w:proofErr w:type="spellEnd"/>
    </w:p>
    <w:p w:rsidR="00D70F69" w:rsidRDefault="00D70F69" w:rsidP="00D7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defendant:</w:t>
      </w:r>
    </w:p>
    <w:p w:rsidR="006B48C8" w:rsidRDefault="00D70F69" w:rsidP="00D70F69">
      <w:pPr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i/>
          <w:iCs/>
          <w:color w:val="000000"/>
        </w:rPr>
        <w:t xml:space="preserve">GW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Bumuturaki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(instructed by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Kirenga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&amp;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Gaffa</w:t>
      </w:r>
      <w:proofErr w:type="spellEnd"/>
      <w:r>
        <w:rPr>
          <w:rFonts w:ascii="Times New Roman" w:hAnsi="Times New Roman" w:cs="Times New Roman"/>
          <w:color w:val="000000"/>
        </w:rPr>
        <w:t>, Kampala)</w:t>
      </w:r>
    </w:p>
    <w:sectPr w:rsidR="006B4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0BB"/>
    <w:rsid w:val="004B6944"/>
    <w:rsid w:val="006B48C8"/>
    <w:rsid w:val="00AE50BB"/>
    <w:rsid w:val="00D7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046242-3339-4196-8C4E-ACEA78B47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3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1413</Words>
  <Characters>8056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5</cp:revision>
  <dcterms:created xsi:type="dcterms:W3CDTF">2018-07-05T13:58:00Z</dcterms:created>
  <dcterms:modified xsi:type="dcterms:W3CDTF">2018-07-13T18:02:00Z</dcterms:modified>
</cp:coreProperties>
</file>