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Osapil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Kaddu</w:t>
      </w:r>
      <w:proofErr w:type="spellEnd"/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October 2000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51/99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Costs – Counterclaim dismissed at trial – Failure to award costs to Plaintiff – Principles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governing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award of costs – Section 27 – Civil Procedure Act (Chapter 65).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Sale of Goods – Lien – Seller parting with possession of goods to buyer – Whether unpaid seller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retained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lien on the goods – Sections 39(1), 40(1) and 43 – Sale of Goods Act.</w:t>
      </w:r>
    </w:p>
    <w:p w:rsidR="00D7793B" w:rsidRDefault="00DA3F61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D7793B">
        <w:rPr>
          <w:rFonts w:ascii="Times New Roman" w:hAnsi="Times New Roman" w:cs="Times New Roman"/>
          <w:i/>
          <w:iCs/>
          <w:color w:val="000000"/>
        </w:rPr>
        <w:t>[3] Sale of goods – Passing of title to property – Motor vehicle – Title to motor vehicle – Vehicle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registered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Appellant’s name – Registration card </w:t>
      </w:r>
      <w:r>
        <w:rPr>
          <w:rFonts w:ascii="Times New Roman" w:hAnsi="Times New Roman" w:cs="Times New Roman"/>
          <w:color w:val="000000"/>
        </w:rPr>
        <w:t xml:space="preserve">prima facie </w:t>
      </w:r>
      <w:r>
        <w:rPr>
          <w:rFonts w:ascii="Times New Roman" w:hAnsi="Times New Roman" w:cs="Times New Roman"/>
          <w:i/>
          <w:iCs/>
          <w:color w:val="000000"/>
        </w:rPr>
        <w:t>evidence of ownership – Whether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property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vehicle had passed from Appellant to First Respondent – Sections 19 and 20 – Sale of Goods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Act, Chapter 31 – Section 31 – Traffic and Road Safety Act Chapter 403 of 1988 – Section 49 – Traffic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Road Act of 1970.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A3F61" w:rsidRDefault="00D7793B" w:rsidP="00DA3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 written sale agreement dated 20 December 1995, the Appellant sold his motor vehicle to the First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for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12 500 000. The agreement provided that the First Respondent was to pay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200 000 immediately and the balance on or before 20 February 1996. The Appellant then handed over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vehicle to the First Respondent together with a photocopy of its logbook. That same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day the First Respondent sold the motor vehicle to the Second Respondent for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12 800 000.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the First Respondent’s failure to pay the balance due to him, in September 1996 the Appellant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caused the motor vehicle to be impounded by the police but, apparently after the Second Respondent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her ownership of it, the vehicle was released to her. The Appellant then sued the Respondents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seeking,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payment of the balance of the purchase price from the First Respondent and damages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conversion and </w:t>
      </w:r>
      <w:proofErr w:type="spellStart"/>
      <w:r>
        <w:rPr>
          <w:rFonts w:ascii="Times New Roman" w:hAnsi="Times New Roman" w:cs="Times New Roman"/>
          <w:color w:val="000000"/>
        </w:rPr>
        <w:t>detinue</w:t>
      </w:r>
      <w:proofErr w:type="spellEnd"/>
      <w:r>
        <w:rPr>
          <w:rFonts w:ascii="Times New Roman" w:hAnsi="Times New Roman" w:cs="Times New Roman"/>
          <w:color w:val="000000"/>
        </w:rPr>
        <w:t xml:space="preserve"> from the Second Respondent. The Second Respondent counterclaimed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seeking to recover loss of earnings from the </w:t>
      </w:r>
      <w:proofErr w:type="gramStart"/>
      <w:r>
        <w:rPr>
          <w:rFonts w:ascii="Times New Roman" w:hAnsi="Times New Roman" w:cs="Times New Roman"/>
          <w:color w:val="000000"/>
        </w:rPr>
        <w:t>Appellant</w:t>
      </w:r>
      <w:proofErr w:type="gramEnd"/>
      <w:r>
        <w:rPr>
          <w:rFonts w:ascii="Times New Roman" w:hAnsi="Times New Roman" w:cs="Times New Roman"/>
          <w:color w:val="000000"/>
        </w:rPr>
        <w:t xml:space="preserve"> arising from his failure to hand over the logbook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 depriving her of the opportunity to put the vehicle to commercial use. The trial Judge found in the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favour as regards the First Respondent but dismissed the suit against the Second Respondent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she had acquired good title from the First Respondent. The Second Respondent’s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counterclaim was dismissed on the ground that there was no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between her and the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The Appellant appealed against the dismissal of his claim against the Second Respondent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primarily on the ground that the trial court had erred in holding that the First Respondent could pass good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 to the Second Respondent. He also appealed against the trial court’s failure to award him costs on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counterclaim. The Second Respondent cross-appealed against the dismissal of her counterclaim.</w:t>
      </w:r>
      <w:r w:rsidR="00DA3F61">
        <w:rPr>
          <w:rFonts w:ascii="Times New Roman" w:hAnsi="Times New Roman" w:cs="Times New Roman"/>
          <w:color w:val="000000"/>
        </w:rPr>
        <w:t xml:space="preserve"> </w:t>
      </w:r>
    </w:p>
    <w:p w:rsidR="00DA3F61" w:rsidRDefault="00DA3F61" w:rsidP="00DA3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7793B" w:rsidRDefault="00D7793B" w:rsidP="00DA3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A registration card or logbook was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title to a motor vehicle and the person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whose name the vehicle was registered was presumed to be the owner thereof unless proved otherwise;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UCB </w:t>
      </w:r>
      <w:r>
        <w:rPr>
          <w:rFonts w:ascii="Times New Roman" w:hAnsi="Times New Roman" w:cs="Times New Roman"/>
          <w:color w:val="000000"/>
        </w:rPr>
        <w:t xml:space="preserve">followed,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Matayo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Garage </w:t>
      </w:r>
      <w:r>
        <w:rPr>
          <w:rFonts w:ascii="Times New Roman" w:hAnsi="Times New Roman" w:cs="Times New Roman"/>
          <w:color w:val="000000"/>
        </w:rPr>
        <w:t>[1960] EA 31 distinguished and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disapproved, </w:t>
      </w:r>
      <w:r>
        <w:rPr>
          <w:rFonts w:ascii="Times New Roman" w:hAnsi="Times New Roman" w:cs="Times New Roman"/>
          <w:i/>
          <w:iCs/>
          <w:color w:val="000000"/>
        </w:rPr>
        <w:t xml:space="preserve">Central Newbury Car Auctioneers Ltd v Unity Finance Ltd </w:t>
      </w:r>
      <w:r>
        <w:rPr>
          <w:rFonts w:ascii="Times New Roman" w:hAnsi="Times New Roman" w:cs="Times New Roman"/>
          <w:color w:val="000000"/>
        </w:rPr>
        <w:t>[1956] 3 All ER 905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disapproved. Section 20 of the Sale of Goods Act provided,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where there was a contract for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sale of specific goods in a deliverable state, the property in them passed to the buyer when the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was made irrespective of whether the time for payment or delivery or both were postponed,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a different intention appeared. In this instance, the property in the vehicle passed from the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to the First Respondent when the sale agreement was executed and the Appellant’s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 w:rsidR="00DA3F6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 to the vehicle was thereby rebutted. Accordingly, the First Respondent could legally pass title to the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 and the trial Judge’s holding in this regard could not be faulted.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an unpaid seller who was in possession of goods was entitled to a lien over the goods until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paid, that lien was lost the moment the buyer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lawfully obtained possession of the goods. The Appellant therefore had no right of lien over the vehicle.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27 of the </w:t>
      </w:r>
      <w:r>
        <w:rPr>
          <w:rFonts w:ascii="Times New Roman" w:hAnsi="Times New Roman" w:cs="Times New Roman"/>
          <w:color w:val="000000"/>
        </w:rPr>
        <w:lastRenderedPageBreak/>
        <w:t>Civil Procedure Act (Chapter 65) was to the effect that the award of costs was to be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court’s discretion provided that costs were to follow the event unless the court gave good reason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ordering otherwise. An appellate court would not interfere with a trial court’s exercise of discretion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 court proceeded on some wrong principle. Where the court gave no reasons for its decision,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appellate court would interfere where it was satisfied that the order was wrong but where reasons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given, the appellate court would only interfere if it considered that the reasons given did not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constitute good reasons; </w:t>
      </w:r>
      <w:r>
        <w:rPr>
          <w:rFonts w:ascii="Times New Roman" w:hAnsi="Times New Roman" w:cs="Times New Roman"/>
          <w:i/>
          <w:iCs/>
          <w:color w:val="000000"/>
        </w:rPr>
        <w:t xml:space="preserve">Donald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Pollak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[1927] AC 732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Dhirani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applied. In this instance,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gave no reason for depriving the Appellant of costs. The Second Respondent’s claim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directed at the First Respondent and, as there was no good reason for depriving the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of his costs, costs would be awarded to the Appellant on the counterclaim.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mere fact that a plaintiff obtained judgment for breach of contract did not preclude her from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judgment entered in her favour in tort, assuming a breach of the common law duty of care was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established. In this instance, it had not been established that the Appellant owed the Second Respondent</w:t>
      </w:r>
      <w:r w:rsidR="00DA3F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duty of care and therefore the counterclaim was rightly dismissed.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Fazal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Dhirani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Mohamed Ibrahim v Abdul Mohamed Ismail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25 of 1946 </w:t>
      </w:r>
      <w:r>
        <w:rPr>
          <w:rFonts w:ascii="Times New Roman" w:hAnsi="Times New Roman" w:cs="Times New Roman"/>
          <w:i/>
          <w:iCs/>
          <w:color w:val="000000"/>
        </w:rPr>
        <w:t>–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Commercial Bank </w:t>
      </w:r>
      <w:r>
        <w:rPr>
          <w:rFonts w:ascii="Times New Roman" w:hAnsi="Times New Roman" w:cs="Times New Roman"/>
          <w:color w:val="000000"/>
        </w:rPr>
        <w:t xml:space="preserve">civil appeal number 17 of 1995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Matayo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Garage Ltd </w:t>
      </w:r>
      <w:r>
        <w:rPr>
          <w:rFonts w:ascii="Times New Roman" w:hAnsi="Times New Roman" w:cs="Times New Roman"/>
          <w:color w:val="000000"/>
        </w:rPr>
        <w:t xml:space="preserve">[1960] EA 31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 xml:space="preserve">D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DA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Batty and another v Metropolitan Property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Realisation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and others </w:t>
      </w:r>
      <w:r>
        <w:rPr>
          <w:rFonts w:ascii="Times New Roman" w:hAnsi="Times New Roman" w:cs="Times New Roman"/>
          <w:color w:val="000000"/>
        </w:rPr>
        <w:t>[1978] 2 All ER 445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Central Newbury Car Auctioneers Ltd v Unity Finance Ltd and another (Mercury Motors Third Parties)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[1956] 3 All ER 905 – </w:t>
      </w:r>
      <w:r>
        <w:rPr>
          <w:rFonts w:ascii="Times New Roman" w:hAnsi="Times New Roman" w:cs="Times New Roman"/>
          <w:b/>
          <w:bCs/>
          <w:color w:val="000000"/>
        </w:rPr>
        <w:t>DA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Donald Campbell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Pollak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[1927] AC 732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D7793B" w:rsidRDefault="00D7793B" w:rsidP="00D77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Donoghue v Stevenson </w:t>
      </w:r>
      <w:r>
        <w:rPr>
          <w:rFonts w:ascii="Times New Roman" w:hAnsi="Times New Roman" w:cs="Times New Roman"/>
          <w:color w:val="000000"/>
        </w:rPr>
        <w:t>[1932] AC 562</w:t>
      </w:r>
    </w:p>
    <w:p w:rsidR="00664035" w:rsidRDefault="00D7793B" w:rsidP="00D7793B">
      <w:r>
        <w:rPr>
          <w:rFonts w:ascii="Times New Roman" w:hAnsi="Times New Roman" w:cs="Times New Roman"/>
          <w:i/>
          <w:iCs/>
          <w:color w:val="000000"/>
        </w:rPr>
        <w:t xml:space="preserve">Esso Petroleum Co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Mardon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[1976] 2 All ER 5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3B"/>
    <w:rsid w:val="00664035"/>
    <w:rsid w:val="00D7793B"/>
    <w:rsid w:val="00D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768E3-1451-4E5A-BCB7-6882586D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2018-07-05T12:38:00Z</dcterms:created>
  <dcterms:modified xsi:type="dcterms:W3CDTF">2018-07-13T18:05:00Z</dcterms:modified>
</cp:coreProperties>
</file>