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Osapil v Kaddu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[2000] 1 EA 193 (CAU)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October 2000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51/99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Okello, Berko and Twinomujuni JJA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B Tusasirwe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H K Mutai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– Costs – Counterclaim dismissed at trial – Failure to award costs to Plaintiff – Principles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governing award of costs – Section 27 – Civil Procedure Act (Chapter 65).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Sale of Goods – Lien – Seller parting with possession of goods to buyer – Whether unpaid seller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retained a lien on the goods – Sections 39(1), 40(1) and 43 – Sale of Goods Act.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194 of [2000] 1 EA 193 (CAU)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Sale of goods – Passing of title to property – Motor vehicle – Title to motor vehicle – Vehicle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registered in Appellant’s name – Registration card </w:t>
      </w:r>
      <w:r>
        <w:rPr>
          <w:rFonts w:ascii="Times New Roman" w:hAnsi="Times New Roman" w:cs="Times New Roman"/>
          <w:color w:val="000000"/>
        </w:rPr>
        <w:t xml:space="preserve">prima facie </w:t>
      </w:r>
      <w:r>
        <w:rPr>
          <w:rFonts w:ascii="Times New Roman" w:hAnsi="Times New Roman" w:cs="Times New Roman"/>
          <w:i/>
          <w:iCs/>
          <w:color w:val="000000"/>
        </w:rPr>
        <w:t>evidence of ownership – Whether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property in vehicle had passed from Appellant to First Respondent – Sections 19 and 20 – Sale of Goods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Act, Chapter 31 – Section 31 – Traffic and Road Safety Act Chapter 403 of 1988 – Section 49 – Traffic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and Road Act of 1970.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a written sale agreement dated 20 December 1995, the Appellant sold his motor vehicle to the First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for UShs 12 500 000. The agreement provided that the First Respondent was to pay UShs 7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200 000 immediately and the balance on or before 20 February 1996. The Appellant then handed over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possession of the vehicle to the First Respondent together with a photocopy of its logbook. That same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day the First Respondent sold the motor vehicle to the Second Respondent for UShs 12 800 000.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Following the First Respondent’s failure to pay the balance due to him, in September 1996 the Appellant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caused the motor vehicle to be impounded by the police but, apparently after the Second Respondent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established her ownership of it, the vehicle was released to her. The Appellant then sued the Respondents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seeking,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payment of the balance of the purchase price from the First Respondent and damages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conversion and detinue from the Second Respondent. The Second Respondent counterclaimed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seeking to recover loss of earnings from the Appellant arising from his failure to hand over the logbook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thus depriving her of the opportunity to put the vehicle to commercial use. The trial Judge found in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Appellant’s favour as regards the First Respondent but dismissed the suit against the Second Respondent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ground that she had acquired good title from the First Respondent. The Second Respondent’s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counterclaim was dismissed on the ground that there was no privity of contract between her and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Appellant. The Appellant appealed against the dismissal of his claim against the Second Respondent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primarily on the ground that the trial court had erred in holding that the First Respondent could pass good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title to the Second Respondent. He also appealed against the trial court’s failure to award him costs on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counterclaim. The Second Respondent cross-appealed against the dismissal of her counterclaim.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A registration card or logbook was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evidence of title to a motor vehicle and the person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whose name the vehicle was registered was presumed to be the owner thereof unless proved otherwise;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Kamanda v UCB </w:t>
      </w:r>
      <w:r>
        <w:rPr>
          <w:rFonts w:ascii="Times New Roman" w:hAnsi="Times New Roman" w:cs="Times New Roman"/>
          <w:color w:val="000000"/>
        </w:rPr>
        <w:t xml:space="preserve">followed, </w:t>
      </w:r>
      <w:r>
        <w:rPr>
          <w:rFonts w:ascii="Times New Roman" w:hAnsi="Times New Roman" w:cs="Times New Roman"/>
          <w:i/>
          <w:iCs/>
          <w:color w:val="000000"/>
        </w:rPr>
        <w:t xml:space="preserve">Matayo Musoke v Alibhai Garage </w:t>
      </w:r>
      <w:r>
        <w:rPr>
          <w:rFonts w:ascii="Times New Roman" w:hAnsi="Times New Roman" w:cs="Times New Roman"/>
          <w:color w:val="000000"/>
        </w:rPr>
        <w:t>[1960] EA 31 distinguished and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disapproved, </w:t>
      </w:r>
      <w:r>
        <w:rPr>
          <w:rFonts w:ascii="Times New Roman" w:hAnsi="Times New Roman" w:cs="Times New Roman"/>
          <w:i/>
          <w:iCs/>
          <w:color w:val="000000"/>
        </w:rPr>
        <w:t xml:space="preserve">Central Newbury Car Auctioneers Ltd v Unity Finance Ltd </w:t>
      </w:r>
      <w:r>
        <w:rPr>
          <w:rFonts w:ascii="Times New Roman" w:hAnsi="Times New Roman" w:cs="Times New Roman"/>
          <w:color w:val="000000"/>
        </w:rPr>
        <w:t>[1956] 3 All ER 905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disapproved. Section 20 of the Sale of Goods Act provided,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where there was a contract for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sale of specific goods in a deliverable state, the property in them passed to the buyer when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contract was made irrespective of whether the time for payment or delivery or both were postponed,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unless a different intention appeared. In this instance, the property in the vehicle passed from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Appellant to the First Respondent when the sale agreement was executed and the Appellant’s </w:t>
      </w:r>
      <w:r>
        <w:rPr>
          <w:rFonts w:ascii="Times New Roman" w:hAnsi="Times New Roman" w:cs="Times New Roman"/>
          <w:i/>
          <w:iCs/>
          <w:color w:val="000000"/>
        </w:rPr>
        <w:t>prima facie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title to the vehicle was thereby rebutted. Accordingly, the First Respondent could legally pass title to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Second Respondent and the trial Judge’s holding in this regard could not be faulted.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Although an unpaid seller who was in possession of goods was entitled to a lien over the goods until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he was paid, that lien was lost the moment the buyer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195 of [2000] 1 EA 193 (CAU)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lawfully obtained possession of the goods. The Appellant therefore had no right of lien over the vehicle.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27 of the Civil Procedure Act (Chapter 65) was to the effect that the award of costs was to be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court’s discretion provided that costs were to follow the event unless the court gave good reason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ordering otherwise. An appellate court would not interfere with a trial court’s exercise of discretion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unless the court proceeded on some wrong principle. Where the court gave no reasons for its decision,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appellate court would interfere where it was satisfied that the order was wrong but where reasons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were given, the appellate court would only interfere if it considered that the reasons given did not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constitute good reasons; </w:t>
      </w:r>
      <w:r>
        <w:rPr>
          <w:rFonts w:ascii="Times New Roman" w:hAnsi="Times New Roman" w:cs="Times New Roman"/>
          <w:i/>
          <w:iCs/>
          <w:color w:val="000000"/>
        </w:rPr>
        <w:t xml:space="preserve">Donald v Pollak </w:t>
      </w:r>
      <w:r>
        <w:rPr>
          <w:rFonts w:ascii="Times New Roman" w:hAnsi="Times New Roman" w:cs="Times New Roman"/>
          <w:color w:val="000000"/>
        </w:rPr>
        <w:t xml:space="preserve">[1927] AC 732 and </w:t>
      </w:r>
      <w:r>
        <w:rPr>
          <w:rFonts w:ascii="Times New Roman" w:hAnsi="Times New Roman" w:cs="Times New Roman"/>
          <w:i/>
          <w:iCs/>
          <w:color w:val="000000"/>
        </w:rPr>
        <w:t xml:space="preserve">Dhirani v Ganji </w:t>
      </w:r>
      <w:r>
        <w:rPr>
          <w:rFonts w:ascii="Times New Roman" w:hAnsi="Times New Roman" w:cs="Times New Roman"/>
          <w:color w:val="000000"/>
        </w:rPr>
        <w:t>applied. In this instance,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trial court gave no reason for depriving the Appellant of costs. The Second Respondent’s claim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should have been directed at the First Respondent and, as there was no good reason for depriving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of his costs, costs would be awarded to the Appellant on the counterclaim.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mere fact that a plaintiff obtained judgment for breach of contract did not preclude her from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having judgment entered in her favour in tort, assuming a breach of the common law duty of care was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established. In this instance, it had not been established that the Appellant owed the Second Respondent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any duty of care and therefore the counterclaim was rightly dismissed.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Fazal Dhirani and Mohamed Ibrahim v Abdul Mohamed Ismail Ganji </w:t>
      </w:r>
      <w:r>
        <w:rPr>
          <w:rFonts w:ascii="Times New Roman" w:hAnsi="Times New Roman" w:cs="Times New Roman"/>
          <w:color w:val="000000"/>
        </w:rPr>
        <w:t xml:space="preserve">civil appeal number 25 of 1946 </w:t>
      </w:r>
      <w:r>
        <w:rPr>
          <w:rFonts w:ascii="Times New Roman" w:hAnsi="Times New Roman" w:cs="Times New Roman"/>
          <w:i/>
          <w:iCs/>
          <w:color w:val="000000"/>
        </w:rPr>
        <w:t>–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Fred Kamanda v Uganda Commercial Bank </w:t>
      </w:r>
      <w:r>
        <w:rPr>
          <w:rFonts w:ascii="Times New Roman" w:hAnsi="Times New Roman" w:cs="Times New Roman"/>
          <w:color w:val="000000"/>
        </w:rPr>
        <w:t xml:space="preserve">civil appeal number 17 of 1995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Matayo Musoke v Alibhai Garage Ltd </w:t>
      </w:r>
      <w:r>
        <w:rPr>
          <w:rFonts w:ascii="Times New Roman" w:hAnsi="Times New Roman" w:cs="Times New Roman"/>
          <w:color w:val="000000"/>
        </w:rPr>
        <w:t xml:space="preserve">[1960] EA 31 </w:t>
      </w:r>
      <w:r>
        <w:rPr>
          <w:rFonts w:ascii="Times New Roman" w:hAnsi="Times New Roman" w:cs="Times New Roman"/>
          <w:i/>
          <w:iCs/>
          <w:color w:val="000000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</w:rPr>
        <w:t xml:space="preserve">D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DA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Batty and another v Metropolitan Property Realisation Ltd and others </w:t>
      </w:r>
      <w:r>
        <w:rPr>
          <w:rFonts w:ascii="Times New Roman" w:hAnsi="Times New Roman" w:cs="Times New Roman"/>
          <w:color w:val="000000"/>
        </w:rPr>
        <w:t>[1978] 2 All ER 445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Central Newbury Car Auctioneers Ltd v Unity Finance Ltd and another (Mercury Motors Third Parties)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[1956] 3 All ER 905 – </w:t>
      </w:r>
      <w:r>
        <w:rPr>
          <w:rFonts w:ascii="Times New Roman" w:hAnsi="Times New Roman" w:cs="Times New Roman"/>
          <w:b/>
          <w:bCs/>
          <w:color w:val="000000"/>
        </w:rPr>
        <w:t>DA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Donald Campbell v Pollak </w:t>
      </w:r>
      <w:r>
        <w:rPr>
          <w:rFonts w:ascii="Times New Roman" w:hAnsi="Times New Roman" w:cs="Times New Roman"/>
          <w:color w:val="000000"/>
        </w:rPr>
        <w:t xml:space="preserve">[1927] AC 732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Donoghue v Stevenson </w:t>
      </w:r>
      <w:r>
        <w:rPr>
          <w:rFonts w:ascii="Times New Roman" w:hAnsi="Times New Roman" w:cs="Times New Roman"/>
          <w:color w:val="000000"/>
        </w:rPr>
        <w:t>[1932] AC 562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Esso Petroleum Co Ltd v Mardon </w:t>
      </w:r>
      <w:r>
        <w:rPr>
          <w:rFonts w:ascii="Times New Roman" w:hAnsi="Times New Roman" w:cs="Times New Roman"/>
          <w:color w:val="000000"/>
        </w:rPr>
        <w:t>[1976] 2 All ER 5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BERKO JA: </w:t>
      </w:r>
      <w:r>
        <w:rPr>
          <w:rFonts w:ascii="Times New Roman" w:hAnsi="Times New Roman" w:cs="Times New Roman"/>
          <w:color w:val="000000"/>
        </w:rPr>
        <w:t>This appeal arises from the judgment of the High Court (Musoke-Kibuuka J) dated 16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December 1998 whereby he dismissed with costs the Plaintiff/Appellant’s suit against the Second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Defendant/Respondent and his failure to award costs in favour of the Appellant when he dismissed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Second Respondent’s counterclaim.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196 of [2000] 1 EA 193 (CAU)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facts of the case are not in dispute. The Appellant sold his motor vehicle to the First Defendant,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Emmanuel Kaddu, on 20 December 1995 for Ushs 12 500 000. A written sale agreement, P1, was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executed between the Appellant and Emmanuel Kaddu. On the same day Emmanuel Kaddu sold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vehicle to the Second Respondent who had seen the motor vehicle at the former’s parking yard in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“container village” in Kampala for Ushs 12 800 000. Emmanuel Kaddu made part payment amounting to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Ushs 7 200 000. That left a balance of UShs 5 300 000 which Kaddu promised to pay on or before 20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February 1996. The Appellant handed the vehicle to Kaddu together with a photocopy of the log book.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retained the original log book, the road licence and the Insurance certificate. On the same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day Kaddu handed over the vehicle to the Second Respondent.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Kaddu failed to pay the balance of the purchase price to the Appellant, he, the Appellant caused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vehicle to be impounded by the police on September 1996 and kept it at the CPS. The vehicle was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released to the Second Respondent by the police apparently when she established her ownership to it. As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 result the Appellant brought a suit against Kaddu and the Second Respondent. As against Kaddu, 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claimed specific performance of the contract of sale, payment of the balance of the purchase price, or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return of the vehicle, damages for breach of contract and costs of the suit. As against the Second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Respondent, he claimed special and general damages for conversion, detinue, loss of profit, loss of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earnings and costs.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 joint statement of defence filed on behalf of Kaddu and the Second Respondent, Kaddu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contended that the property in the vehicle passed to him on the execution of the sale agreement.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Second Respondent contended that she was the owner of the vehicle by purchase from Kaddu. By way of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counterclaim, the Second Respondent claimed against the Appellant loss of earnings at the rate of UShs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60 000 per day arising from the failure by the Appellant to release to her the log book of the vehicle,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absence of which prevented her from renewing the road licence which prevented her from putting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vehicle to commercial use.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trial Judge gave judgment against Kaddu in favour of the Appellant for the sum of UShs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5 300 000 being the balance of the purchase price plus interest thereon at the rate of 25% per annum,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UShs 1 000 000 general damages with interest at the court’s rate and costs of the suit. Kaddu has not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appealed. The Learned trial Judge dismissed the Appellant’s suit against the Second Respondent on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ground that she acquired good title from Kaddu. He dismissed the Second Respondent’s counterclaim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against the Appellant on the ground that there was no privity of contract between her and the Appellant,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but did not award costs in favour of the Appellant when he dismissed the Second Respondent’s said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counterclaim. The Second Respondent has cross-appealed against the dismissal of her counter – claim.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Even though there are nine grounds of appeal, in my view, the determination of the appeal depends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entirely upon what construction is placed on the sale agreement, exhibit Pl. The Learned trial Judge held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the title to the suit motor vehicle passed to the First Defendant when he and the Appellant executed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exhibit P1 and consequently the First Defendant could legally sell and pass title to the Second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Respondent. Mr </w:t>
      </w:r>
      <w:r>
        <w:rPr>
          <w:rFonts w:ascii="Times New Roman" w:hAnsi="Times New Roman" w:cs="Times New Roman"/>
          <w:i/>
          <w:iCs/>
          <w:color w:val="000000"/>
        </w:rPr>
        <w:t xml:space="preserve">Emesu </w:t>
      </w:r>
      <w:r>
        <w:rPr>
          <w:rFonts w:ascii="Times New Roman" w:hAnsi="Times New Roman" w:cs="Times New Roman"/>
          <w:color w:val="000000"/>
        </w:rPr>
        <w:t>has attacked the above holding on a number of grounds. According to him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sale between the Appellant and the First Defendant had not been completed when the First Defendant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sold the vehicle to the Second Respondent.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197 of [2000] 1 EA 193 (CAU)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first reason for saying so was that the Appellant retained vital documents on the vehicle that is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original log book, the insurance policy, and the road licence. The Appellant gave the Kaddu only a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photocopy of the log book. At the time the Appellant sold the vehicle to the First Defendant the vehicle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registered in the names of the Appellant. It was contended therefore that he was presumed to be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owner. In my view there is no dispute about that. This is clear from section 49 of the Traffic and Road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 of 1970 as amended. Section 49 provides: “The person in whose name a motor vehicle, trailer or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engineering plant is registered shall, unless the contrary be proved, be presumed to be the owner of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vehicle, trailer or engineering plant”.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Supreme Court held in </w:t>
      </w:r>
      <w:r>
        <w:rPr>
          <w:rFonts w:ascii="Times New Roman" w:hAnsi="Times New Roman" w:cs="Times New Roman"/>
          <w:i/>
          <w:iCs/>
          <w:color w:val="000000"/>
        </w:rPr>
        <w:t xml:space="preserve">Fred Kamanda v Uganda Commercial Bank </w:t>
      </w:r>
      <w:r>
        <w:rPr>
          <w:rFonts w:ascii="Times New Roman" w:hAnsi="Times New Roman" w:cs="Times New Roman"/>
          <w:color w:val="000000"/>
        </w:rPr>
        <w:t>civil appeal number 17 of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1995 that a registration card is therefore evidence of ownership as the person whose name the vehicle is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registered is presumed to be the owner of the vehicle unless proved otherwise. A registration card is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evidence of title and it is therefore a document of title. And it was because the Appellant had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title to the vehicle, that was why he was able to sell it to Kaddu. The sale agreement, exhibit P1, states: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 John Nathan Osopil has sold my motor vehicle Registration number UBN 108 Engine Number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3Y-0600028 Chassis Number YH61V-0060028 to Mr Kaddu Emmanuel at the costs of UShs 12 500 000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(Twelve million five hundred thousand shillings He has paid UShs 7 200 000 (seven million two hundred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thousand Shillings only). The balance UShs 5 300 000 (Five million three hundred thousand shillings) will be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paid on or before 20 February 1996.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 (Kaddu Emmanuel) is resident of Najjanakumbi Stella Zone working at Container Village”.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was signed by the Appellant and Kaddu.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property in such goods passes from the seller to the buyer is regulated by the provisions of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Sale of Goods Act, Chapter 79, section 19 provides: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“19(1) Where there is a contract for the sale of a specific or ascertained goods the property in them is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transferred to the buyer at such time as the parties to thecontract intend it be transferred.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For the purpose of ascertaining the intention of the parties regard shall be had to the terms of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contract, the conduct of the parties and the circumstances of the case”.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20 provides: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“Unless a different intention appears, the following are rules for ascertaining the intention of the parties as to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time at which the property in the goods is to pass to the buyer: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(1) where there is an unconditional contract for the sale of specific goods in a deliverable state,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property in the good passes to the buyer when the contract is made, and it is immaterial whether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time for payment or the time for delivery or both be postponed”.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was a contract for the sale of a specific motor vehicle. It was not subject to condition as to when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property in the vehicle was to pass. The seller gave possession of the vehicle to the buyer from the time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execution of the contract of sale. The property in the vehicle therefore passed from the Appellant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Kaddu when exhibit Pl was executed. The fact that the whole purchase price had not been paid is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immaterial. Consequently the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title of the Appellant in the vehicle by being its registered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owner is rebutted by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198 of [2000] 1 EA 193 (CAU)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contract of sale between himself and Kaddu. Accordingly Kaddu could legally sell and pass title in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vehicle to the Second Respondent. The Learned Judge was therefore right in so finding.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do not see in what way the issue of pledge comes in. Kaddu did not obtain loan from the Appellant.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evidence of the Appellant clearly shows that he retained the log book until the First Defendant paid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balance. He also said that he wanted the police to keep the vehicle until the balance was paid. It is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therefore clear that his only interest was in the balance of the purchase price.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second reason why Mr </w:t>
      </w:r>
      <w:r>
        <w:rPr>
          <w:rFonts w:ascii="Times New Roman" w:hAnsi="Times New Roman" w:cs="Times New Roman"/>
          <w:i/>
          <w:iCs/>
          <w:color w:val="000000"/>
        </w:rPr>
        <w:t xml:space="preserve">Emesu </w:t>
      </w:r>
      <w:r>
        <w:rPr>
          <w:rFonts w:ascii="Times New Roman" w:hAnsi="Times New Roman" w:cs="Times New Roman"/>
          <w:color w:val="000000"/>
        </w:rPr>
        <w:t>contended that the contract between the Appellant and Kaddu had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 been completed was because there was balance yet to be paid and as a result the Appellant had a lien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over the vehicle. I have already referred to section 20(1) of the Sales of Goods and held that the property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vehicle passed when exhibit P1 was executed. The fact that there was balance to be paid at a later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stage had not effect.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regard to the lien, I agree that an unpaid seller who is in possession of the goods is entitled to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retain possession until he is paid. But he loses his lien the moment the buyer or his agent lawfully obtains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possession of the goods. Section 43 of the Sale of Goods Act. In the instant case the Appellant lawfully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gave possession of the vehicle to Kaddu. Consequently the Appellant lost his right of lien over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vehicle. But the unpaid seller’s lien does not prevent the property in the goods from passing to the buyer.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See section 40(1) of the Sale of Goods Act. It also does not prevent the contract of sale from being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complete. He cannot be an “unpaid seller” if the contract of sale between him and the buyer is not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complete. This is implied from the definition of “unpaid seller” within the provision of section 39(1) of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Sale of Goods Act. I therefore do not find any merit in that argument.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third reason why Mr </w:t>
      </w:r>
      <w:r>
        <w:rPr>
          <w:rFonts w:ascii="Times New Roman" w:hAnsi="Times New Roman" w:cs="Times New Roman"/>
          <w:i/>
          <w:iCs/>
          <w:color w:val="000000"/>
        </w:rPr>
        <w:t xml:space="preserve">Emesu </w:t>
      </w:r>
      <w:r>
        <w:rPr>
          <w:rFonts w:ascii="Times New Roman" w:hAnsi="Times New Roman" w:cs="Times New Roman"/>
          <w:color w:val="000000"/>
        </w:rPr>
        <w:t>said that the contract between the Appellant and Kaddu was not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complete was that the Appellant only gave to the First Respondent mere possession of the vehicle and not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title to it as the Appellant retained the original log book or registration book. This is because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person in whose name the vehicle is registered is presumed to be the owner until the contrary is proved.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contention can be shortly disposed of by saying that I am satisfied that Kaddu is and as the owner of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vehicle from the date on which he acquired it from the Appellant. The presumption created by section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31 of the Traffic and Road Safety Act of 1998 is therefore rebutted.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wish, however, to distinguish the facts in this case from the fact in the case of </w:t>
      </w:r>
      <w:r>
        <w:rPr>
          <w:rFonts w:ascii="Times New Roman" w:hAnsi="Times New Roman" w:cs="Times New Roman"/>
          <w:i/>
          <w:iCs/>
          <w:color w:val="000000"/>
        </w:rPr>
        <w:t>Matayo Musoke v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Alibhai Garage Ltd </w:t>
      </w:r>
      <w:r>
        <w:rPr>
          <w:rFonts w:ascii="Times New Roman" w:hAnsi="Times New Roman" w:cs="Times New Roman"/>
          <w:color w:val="000000"/>
        </w:rPr>
        <w:t>[1960] EA 31. The defendant in that case had hired a motor car under a hire purchase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agreement to one S, and had given him possession of the car and the registration book. S after having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 registered in his name defaulted in the payment of installments under the hire purchase agreement and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sold the car to the plaintiff who registered it in his name. The defendant later seized the car in terms of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agreement with S and the plaintiff sued them for the return of the car or its value. At the trial it was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contended that the defendant was not the owner of the car, that section 26(2) of the Sale of Goods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Ordinance was applicable and that the defendant having handed over the registration book to S was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estopped by its conduct from denying S’s authority to sell the car. It was held that: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199 of [2000] 1 EA 193 (CAU)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“(1) As S had not paid a single installment under the hire purchase agreement, he had never exercised his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option to purchase the car and therefore section 26(2) of the Sale of Goods Ordinance was not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applicable.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A motor car registration book is not a document of title and delivery thereof does not give a person to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whom it is delivered the means of appearing to be the owner or of having apparent authority to sell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car. The Plaintiff’s suit was therefore dismissed”.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Matayo Musoke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the agreement between the owner of the vehicle (the defendant therein) and 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who purchased it under the hire purchase agreement, contained a provision which empowered the owner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retake possession of the car in the event of default in payment of any installment. The agreement in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instant case did not contain a provision giving the Appellant right to retake possession of the vehicle in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event of default in the payment of the balance of the purchase price. His only remedy, when Kaddu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defaulted in the payment of the balance of the purchase price, was to sue him for the recovery of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purchase price. He was not entitled under exhibit P1 to impound the vehicle.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wish also to mention that the decision in </w:t>
      </w:r>
      <w:r>
        <w:rPr>
          <w:rFonts w:ascii="Times New Roman" w:hAnsi="Times New Roman" w:cs="Times New Roman"/>
          <w:i/>
          <w:iCs/>
          <w:color w:val="000000"/>
        </w:rPr>
        <w:t xml:space="preserve">Matayo Musoke </w:t>
      </w:r>
      <w:r>
        <w:rPr>
          <w:rFonts w:ascii="Times New Roman" w:hAnsi="Times New Roman" w:cs="Times New Roman"/>
          <w:color w:val="000000"/>
        </w:rPr>
        <w:t>is no longer good law insofar as it decided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motor vehicle registration book is not a document of title in view of the decision of Supreme Court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Fred Kamanda v Uganda Commercial Bank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). Similarily the House of Lords decision in </w:t>
      </w:r>
      <w:r>
        <w:rPr>
          <w:rFonts w:ascii="Times New Roman" w:hAnsi="Times New Roman" w:cs="Times New Roman"/>
          <w:i/>
          <w:iCs/>
          <w:color w:val="000000"/>
        </w:rPr>
        <w:t>Central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Newbury Car Auctioneers Ltd v Unity Finance Ltd and another (Mercury Motors Third Parties) </w:t>
      </w:r>
      <w:r>
        <w:rPr>
          <w:rFonts w:ascii="Times New Roman" w:hAnsi="Times New Roman" w:cs="Times New Roman"/>
          <w:color w:val="000000"/>
        </w:rPr>
        <w:t>[1956] 3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All ER 905 which was relied upon in </w:t>
      </w:r>
      <w:r>
        <w:rPr>
          <w:rFonts w:ascii="Times New Roman" w:hAnsi="Times New Roman" w:cs="Times New Roman"/>
          <w:i/>
          <w:iCs/>
          <w:color w:val="000000"/>
        </w:rPr>
        <w:t xml:space="preserve">Matayo Musoke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is also not good law in Uganda. In Uganda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purchaser who has been given the car as well as the car registration book can sell the car since the car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registration book is a document of title to the car. For the above reasons I do not find merit in grounds 2,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3, 4, 5 and 6. Ground 7 was abandoned.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argument in ground eight was that the Learned trial Judge was wrong to have dismissed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Appellant’s suit against the Second Respondent. The Appellant had sued the Second Respondent for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trespass, detinue and conversion for removing the vehicle from CPS without authority. It was said that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had a balance of the purchase which was yet to be paid. He also had the car registration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book in his possession. There was no privity of contract between her and the Appellant as the Appellant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had not sold any car to her. In those circumstances, it was contended that the Judge should have found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the Second Respondent committed acts of trespass and conversion when she removed the car from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CPS and should have been mulcted in damages.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contention can be shortly disposed of by repeating what I have said earlier that I am satisfied that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Kaddu became the owner of the car from 2 May 1995 when he purchased the car from the Appellant.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Kaddu could therefore sell and give property in the vehicle to the Second Respondent. She consequently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became the owner of the vehicle when she purchased it from Kaddu on 20 May 1995. Consequently she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committed no trespass or conversion when she removed the car from CPS. The trial Judge was, as a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result, right to dismiss the Appellant’s claim against her. Ground 8 must therefore fail.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argument in ground 9 was that the Judge was wrong not to have awarded costs in favour of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when he dismissed the Second Respondent’s counterclaim. On behalf of the Second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Respondent Mr </w:t>
      </w:r>
      <w:r>
        <w:rPr>
          <w:rFonts w:ascii="Times New Roman" w:hAnsi="Times New Roman" w:cs="Times New Roman"/>
          <w:i/>
          <w:iCs/>
          <w:color w:val="000000"/>
        </w:rPr>
        <w:t xml:space="preserve">Tibesigwa </w:t>
      </w:r>
      <w:r>
        <w:rPr>
          <w:rFonts w:ascii="Times New Roman" w:hAnsi="Times New Roman" w:cs="Times New Roman"/>
          <w:color w:val="000000"/>
        </w:rPr>
        <w:t>had submitted that the Appellant was not entitled to costs on the counterclaim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it was the conduct of the Appellant that led the Second Respondent to file the counterclaim. She filed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counterclaim for the loss she suffered when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200 of [2000] 1 EA 193 (CAU)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failed to give her the log book to enable her renew the road licence and put the vehicle to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commercial use.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section 27 of the Civil Procedure Act costs are in the discretion of the court provided that costs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shall follow the event unless the court shall for good reason otherwise order.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present case the Judge found that it was not lawful for the Appellant to retain the log book after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executing the contract of sale exhibit P1. He, however, held that the only person who could legitimately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claim special damages from the Appellant for the loss the person has suffered as result of the retention of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log book was Kaddu who had a sale agreement with the Appellant in respect of the vehicle and not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the Second Respondent who was not a party to the sale agreement. He accordingly dismissed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counterclaim, but in exercising his discretion, as he was entitled to do, he did not give any reason for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depriving the Appellant of his costs.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well established that an appellate court will not interfere with a discretion so exercised unless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trial Judge proceeded on some wrong principle. Where the trial court gives no reason for its decision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appellate court will interfere if it is satisfied that the order was wrong. The appellate court will also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interfere where reasons are given if it considers that those reasons do not constitute “good reasons”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within the meaning of the Rule. </w:t>
      </w:r>
      <w:r>
        <w:rPr>
          <w:rFonts w:ascii="Times New Roman" w:hAnsi="Times New Roman" w:cs="Times New Roman"/>
          <w:i/>
          <w:iCs/>
          <w:color w:val="000000"/>
        </w:rPr>
        <w:t xml:space="preserve">Donald Campbell v Pollak </w:t>
      </w:r>
      <w:r>
        <w:rPr>
          <w:rFonts w:ascii="Times New Roman" w:hAnsi="Times New Roman" w:cs="Times New Roman"/>
          <w:color w:val="000000"/>
        </w:rPr>
        <w:t xml:space="preserve">[1927] AC 732 and </w:t>
      </w:r>
      <w:r>
        <w:rPr>
          <w:rFonts w:ascii="Times New Roman" w:hAnsi="Times New Roman" w:cs="Times New Roman"/>
          <w:i/>
          <w:iCs/>
          <w:color w:val="000000"/>
        </w:rPr>
        <w:t>Dhirani and another v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Ganji </w:t>
      </w:r>
      <w:r>
        <w:rPr>
          <w:rFonts w:ascii="Times New Roman" w:hAnsi="Times New Roman" w:cs="Times New Roman"/>
          <w:color w:val="000000"/>
        </w:rPr>
        <w:t>civil appeal number 25 of 1946.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Here the Learned trial Judge did not give any reason for depriving the appellant of costs. I admit that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the conduct of the Appellant for retaining the log book that led the Second Respondent to claim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special damages she suffered arising from the misuse of the vehicle, her claim ought to have been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directed to Kaddu who sold the vehicle to her. As the Judge rightly found, the Second Respondent sued a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wrong party. Accordingly there was no good reason for depriving the Appellant of costs of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counterclaim that was dismissed. I would award the Appellant his costs on the counterclaim.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now turn to the cross-appeal. The complaint of the Second Respondent in the cross-appeal is that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Judge having held that the Second Respondent’s counterclaim could not succeed in contract, should have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 whether it could succeed in tort. The cross-appeal is, in essence, asking this Court to enter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 against the Appellant based in tort, the Learned Judge having refused to enter judgment for her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basis of breach of contract.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Following the English Court of Appeal decision in </w:t>
      </w:r>
      <w:r>
        <w:rPr>
          <w:rFonts w:ascii="Times New Roman" w:hAnsi="Times New Roman" w:cs="Times New Roman"/>
          <w:i/>
          <w:iCs/>
          <w:color w:val="000000"/>
        </w:rPr>
        <w:t xml:space="preserve">Esso Petroleum Co Ltd v Mardon </w:t>
      </w:r>
      <w:r>
        <w:rPr>
          <w:rFonts w:ascii="Times New Roman" w:hAnsi="Times New Roman" w:cs="Times New Roman"/>
          <w:color w:val="000000"/>
        </w:rPr>
        <w:t>[1976] 2 All ER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5, it is now beyond dispute that the mere fact that a plaintiff has obtained judgment for breach of contract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does not preclude him to have judgment entered in his favour also in tort, assuming that the plaintiff had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established a breach by the defendant of his common law duty of care owed to the plaintiff. Therefore in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for the Second Respondent to have judgment entered against the Appellant in tort for intentionally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causing economic loss to her by unlawful means, the Second Respondent had to establish that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breached his common law duty of care owed to her.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facts, I must confess, that the Second Respondent has not been able to establish that the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owed her any duty of care which had been breached. As the Appellant did not sell the vehicle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her, he could not contemplate that the retention of the log book would cause the Second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201 of [2000] 1 EA 193 (CAU)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loss. I have not been able to find “any sufficient relationship of proximity or neighbourhood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such that, in the reasonable contemplation of the Appellant, the carelessness on his part may likely to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cause damage to the Second Respondent”. See </w:t>
      </w:r>
      <w:r>
        <w:rPr>
          <w:rFonts w:ascii="Times New Roman" w:hAnsi="Times New Roman" w:cs="Times New Roman"/>
          <w:i/>
          <w:iCs/>
          <w:color w:val="000000"/>
        </w:rPr>
        <w:t xml:space="preserve">Donoghue v Stevenson </w:t>
      </w:r>
      <w:r>
        <w:rPr>
          <w:rFonts w:ascii="Times New Roman" w:hAnsi="Times New Roman" w:cs="Times New Roman"/>
          <w:color w:val="000000"/>
        </w:rPr>
        <w:t xml:space="preserve">[1932] AC 562, </w:t>
      </w:r>
      <w:r>
        <w:rPr>
          <w:rFonts w:ascii="Times New Roman" w:hAnsi="Times New Roman" w:cs="Times New Roman"/>
          <w:i/>
          <w:iCs/>
          <w:color w:val="000000"/>
        </w:rPr>
        <w:t>Batty and another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v Metropolitan Property Realisation Ltd and others </w:t>
      </w:r>
      <w:r>
        <w:rPr>
          <w:rFonts w:ascii="Times New Roman" w:hAnsi="Times New Roman" w:cs="Times New Roman"/>
          <w:color w:val="000000"/>
        </w:rPr>
        <w:t>[1978] 2 All ER 445. The cross-appeal therefore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fails.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result, apart from ground 9 which succeeds, I would dismiss the appeal with costs in favour of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here and below. The Appellant is awarded costs on the counterclaim here and below and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also costs in the cross-appeal.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(Okello JA and Twinomujuni JA concurred in the judgment of Berko JA.)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E3123D" w:rsidRDefault="00E3123D" w:rsidP="00E3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64035" w:rsidRDefault="00E3123D" w:rsidP="00E3123D">
      <w:r>
        <w:rPr>
          <w:rFonts w:ascii="Times New Roman" w:hAnsi="Times New Roman" w:cs="Times New Roman"/>
          <w:i/>
          <w:iCs/>
          <w:color w:val="000000"/>
        </w:rPr>
        <w:t>Information not available</w:t>
      </w:r>
      <w:bookmarkStart w:id="0" w:name="_GoBack"/>
      <w:bookmarkEnd w:id="0"/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3D"/>
    <w:rsid w:val="00664035"/>
    <w:rsid w:val="00E3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8ED93-2CBF-483B-8A1A-A64CB4AC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3849</Words>
  <Characters>21944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2018-07-05T12:39:00Z</dcterms:created>
  <dcterms:modified xsi:type="dcterms:W3CDTF">2018-07-05T12:40:00Z</dcterms:modified>
</cp:coreProperties>
</file>