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June 2006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Written submissions – Not permissible in criminal proceedings –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Consequences of court accepting written submissions.</w:t>
      </w:r>
    </w:p>
    <w:p w:rsidR="00BB7D87" w:rsidRDefault="00C44E4B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B7D87" w:rsidRDefault="00BB7D87" w:rsidP="00C44E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Bosire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Henry </w:t>
      </w:r>
      <w:proofErr w:type="spellStart"/>
      <w:r>
        <w:rPr>
          <w:rFonts w:ascii="Times New Roman" w:hAnsi="Times New Roman" w:cs="Times New Roman"/>
          <w:color w:val="000000"/>
        </w:rPr>
        <w:t>Odhiambo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, the appellant, has come to us, on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appeal, challenging his conviction and sentence of three years imprisonment for the offence of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grievous harm contrary to section 234 of the Penal Code.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first appeal to the Superior Court was dismissed in its entirety. In the appeal before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us, several issues have been raised, but we propose to deal with only one of those as we think it will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 of this appeal.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appellant was duly represented by counsel during his trial, this case shows the dangers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inherent in a situation where both the court and counsel make shortcuts to </w:t>
      </w:r>
      <w:proofErr w:type="spellStart"/>
      <w:r>
        <w:rPr>
          <w:rFonts w:ascii="Times New Roman" w:hAnsi="Times New Roman" w:cs="Times New Roman"/>
          <w:color w:val="000000"/>
        </w:rPr>
        <w:t>finalise</w:t>
      </w:r>
      <w:proofErr w:type="spellEnd"/>
      <w:r>
        <w:rPr>
          <w:rFonts w:ascii="Times New Roman" w:hAnsi="Times New Roman" w:cs="Times New Roman"/>
          <w:color w:val="000000"/>
        </w:rPr>
        <w:t xml:space="preserve"> matters they are </w:t>
      </w:r>
      <w:proofErr w:type="spellStart"/>
      <w:r>
        <w:rPr>
          <w:rFonts w:ascii="Times New Roman" w:hAnsi="Times New Roman" w:cs="Times New Roman"/>
          <w:color w:val="000000"/>
        </w:rPr>
        <w:t>seised</w:t>
      </w:r>
      <w:proofErr w:type="spellEnd"/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of. It is a good thing when courts and counsel show a desire to urgently conclude matters. However,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as in this case justice is compromised the practice of making shortcuts, is to be depressed. What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in this case?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tried by a Resident Magistrate, AN Kimani. He received evidence from both the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and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He then made the following order: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“Court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Written submissions 24 May 2001. Judgment 5 June 2001 2pm.”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obedience to that order,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 filed written submissions which the court considered in its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It is, however, doubtful whether the appellant had access to them before judgment as after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prepared the same he must have passed them on to the trial magistrate.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Fanali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Akhuya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criminal appeal number 42 of 2000 this Court dealt with a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situation similar to this one and after quoting with approval the remarks of the Court of Appeal for </w:t>
      </w:r>
      <w:r>
        <w:rPr>
          <w:rFonts w:ascii="Times New Roman" w:hAnsi="Times New Roman" w:cs="Times New Roman"/>
          <w:i/>
          <w:iCs/>
          <w:color w:val="000000"/>
        </w:rPr>
        <w:t>Dean</w:t>
      </w:r>
      <w:r w:rsidR="00C44E4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Republic </w:t>
      </w:r>
      <w:r>
        <w:rPr>
          <w:rFonts w:ascii="Times New Roman" w:hAnsi="Times New Roman" w:cs="Times New Roman"/>
          <w:color w:val="000000"/>
        </w:rPr>
        <w:t>[1966] EA 272 itself said: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our part we say this. The Criminal Procedure Code provides a precedent for the making of submissions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court. In no part of the legislation is there a mention of written submissions. A presiding officer of a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is expected to orally hear such submissions as both sides in a criminal case wish to make and to seek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clarification of such submissions as found necessary, in order to appreciate each side’s case before delivering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opinion. The accused person is also supposed to hear those submissions and has the right to clarify any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 raised or to object to it being raised where he considers it necessary for his own benefit. Written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submissions deny the accused that fundamental right. It is fundamental because if it were not so, the drafters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Constitution of this Republic would not have entrenched it in the Constitution.”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77(2) of the Constitution of the Republic of Kenya, provides in pertinent part, as follows: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“77 (2)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who is charged with a criminal offence.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S hall be permitted to defend himself before the court in person or by a legal representative of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own choice.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except with his consent the trial shall not take place in his absence unless he so conducts himself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render the continuance of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the proceedings in his presence impossible and the court has ordered him to be remanded and the trial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proceed in his absence.”</w:t>
      </w:r>
      <w:r w:rsidR="00C44E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said that merely because the appellant’s counsel acceded to putting in written submissions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thereby consented to that course of events. The question as to whether or not written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could be put in was not put to him. The Constitution envisages express consent.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when section 213 and 310 of the Criminal Procedure Code are read with section 77(2) of the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it is clear that where written submissions are tendered without the accused’s express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consent, the proceedings of the court concerned are thereafter rendered null and void. That is the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we have come to herein.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we order that the proceedings of the trial court after 8 May 2001 when the order for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submissions was made are null and void and thus render the appellant’s trial unsatisfactory.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</w:t>
      </w:r>
      <w:proofErr w:type="spellStart"/>
      <w:r>
        <w:rPr>
          <w:rFonts w:ascii="Times New Roman" w:hAnsi="Times New Roman" w:cs="Times New Roman"/>
          <w:color w:val="000000"/>
        </w:rPr>
        <w:t>agonised</w:t>
      </w:r>
      <w:proofErr w:type="spellEnd"/>
      <w:r>
        <w:rPr>
          <w:rFonts w:ascii="Times New Roman" w:hAnsi="Times New Roman" w:cs="Times New Roman"/>
          <w:color w:val="000000"/>
        </w:rPr>
        <w:t xml:space="preserve"> on what order to make in the circumstances. Under the law as the trial of the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unsatisfactory in ordinary circumstances a retrial would be ordered. However, in the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the long lapse of time since the appellant’s trial was concluded militates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such a course of action. The </w:t>
      </w:r>
      <w:proofErr w:type="gramStart"/>
      <w:r>
        <w:rPr>
          <w:rFonts w:ascii="Times New Roman" w:hAnsi="Times New Roman" w:cs="Times New Roman"/>
          <w:color w:val="000000"/>
        </w:rPr>
        <w:t>appellants</w:t>
      </w:r>
      <w:proofErr w:type="gramEnd"/>
      <w:r>
        <w:rPr>
          <w:rFonts w:ascii="Times New Roman" w:hAnsi="Times New Roman" w:cs="Times New Roman"/>
          <w:color w:val="000000"/>
        </w:rPr>
        <w:t xml:space="preserve"> trial was concluded in May 2001. Since then over five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years have gone by. It might not be easy to trace witnesses and also, there may arise various </w:t>
      </w:r>
      <w:proofErr w:type="spellStart"/>
      <w:r>
        <w:rPr>
          <w:rFonts w:ascii="Times New Roman" w:hAnsi="Times New Roman" w:cs="Times New Roman"/>
          <w:color w:val="000000"/>
        </w:rPr>
        <w:t>improrable</w:t>
      </w:r>
      <w:proofErr w:type="spellEnd"/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obstacles due to passage of time. That being the position we </w:t>
      </w:r>
      <w:r>
        <w:rPr>
          <w:rFonts w:ascii="Times New Roman" w:hAnsi="Times New Roman" w:cs="Times New Roman"/>
          <w:color w:val="000000"/>
        </w:rPr>
        <w:lastRenderedPageBreak/>
        <w:t>quash the appellant’s conviction, set aside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 which was imposed on him and order that the appellant be set at liberty forthwith, if under</w:t>
      </w:r>
      <w:r w:rsidR="00C44E4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incarceration, unless otherwise lawfully held.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BB7D87" w:rsidRDefault="00BB7D87" w:rsidP="00BB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BB7D87" w:rsidP="00BB7D87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7"/>
    <w:rsid w:val="00AB7022"/>
    <w:rsid w:val="00BB7D87"/>
    <w:rsid w:val="00C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D891-3C9C-44D7-A764-9AF7853E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2018-07-05T08:38:00Z</dcterms:created>
  <dcterms:modified xsi:type="dcterms:W3CDTF">2018-07-13T18:07:00Z</dcterms:modified>
</cp:coreProperties>
</file>