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Pelican Investment Ltd v National Bank of Kenya Ltd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Courts Kenya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February 2000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570/98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Onyango-Otieno J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Interlocutory application – Proper form – Absence of grounds in the application –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application will be struck out – Order 50, Rule 7 – Civil Procedure Rules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Rules – Injunction – Order 34 – Civil Procedure Rules.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Land – Mortgage/charge – Statutory power of sale – Penalty interest – Dispute as to the amount due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mortgagee will be restrained from exercising statutory power of sale – Consideration of SA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Duplum Rule.</w:t>
      </w:r>
    </w:p>
    <w:p w:rsidR="00E77985" w:rsidRDefault="002B2F3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2B2F35" w:rsidRDefault="00E77985" w:rsidP="002B2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ONYANGO-OTIENO J: </w:t>
      </w:r>
      <w:r>
        <w:rPr>
          <w:rFonts w:ascii="Times New Roman" w:hAnsi="Times New Roman" w:cs="Times New Roman"/>
          <w:color w:val="000000"/>
        </w:rPr>
        <w:t>This application brought under Order 39, Rule 1, 2 and 3 of the Civil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 and under section 3A of the Civil Procedure Act is seeking mainly two orders. First it is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injunction orders to issue restraining the Defendant/Respondent, its servants and/or agents in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Palomino Enterprises Limited Auctioneers, from in any way selling, disposing, auctioning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howsoever all that parcel of land known as LR No 7751/2 Lower Kabete and LR No 336/10 Ruaraka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the full and final determination of this suit or until further orders of this Court. Second order sought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the public auction by the Defendant of the two pieces of land earlier on set to be due on 12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1998 be stopped.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prayer to stop the sale which was set for 12 February 1998 has been overtaken by events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was stopped when this matter came up for the first time. No grounds were set out in the same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 summons as is required by Order 50, Rule 7 of the Civil Procedure Rules but there is an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sworn by Haithai Haji Abdi which was sworn on 11 February 1998 in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 of the same application. There are also annexures to the same affidavit, all in support of the same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filed a further affidavit sworn on 7 May 1999 and filed on 19 May 1999 and annexed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exhibits to the same affidavit and lastly the Applicant filed a further supplementary affidavit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by its accountant, one Joseph Adongo Alima on 4 June 1999 annexing further affidavits. I will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 to all these affidavits and annexures in this ruling whenever necessary.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opposed the application maintaining that the application is frivolous, vexatious and is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an abuse of the court process, that the application is fatally defective as it does not conform to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mandatory provisions of Order L, Rule 7 of the Civil Procedure Rules (Chapter 21) of the Laws of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Kenya; that the Plaintiff’s and its sister companies’ indebtedness to the Defendant stood at KShs 316 637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410-15 as at December 1997; that the Plaintiff’s case has no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chances of success at all and an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of injunction will overwhelmingly prejudice the clear rights of the Respondent and will heavily tilt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balance of convenience; and that the rate of interest applied on the subject loans was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contractual and lawful. These grounds of opposition were supported by an affidavit sworn by one George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 Okungu sworn on 17 March 1998 and a further affidavit sworn by F Wachira Wamae, assistant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manager on 1 July 1999 plus several annexures. I will refer to these in this ruling whenever necessary. I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also heard and considered the able submissions by the learned counsels.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I do agree that this application offends the provisions of Order 50, Rule 7 in that no grounds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set out as required by that Rule.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Rule states as follows: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“7. Every summons shall state in general terms the grounds of the application being made and shall be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heard in chambers and, where any summons is based on evidence by affidavit, a copy of the affidavit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served”..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before me merely states that the application is grounded on the annexed affidavit of HH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Abdi and on other and further grounds to be adduced at the hearing hereof. In my humble opinion, that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meet the requirements of Rule 7 quoted herein above. This rule is to a large extent similar to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 42(i) of the Court of Appeal Rules. The Court of Appeal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Echaria v Echaria </w:t>
      </w:r>
      <w:r>
        <w:rPr>
          <w:rFonts w:ascii="Times New Roman" w:hAnsi="Times New Roman" w:cs="Times New Roman"/>
          <w:color w:val="000000"/>
        </w:rPr>
        <w:t>[1997]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LLR 2532 (CAK) which came up before the Court of Appeal on 19 May 1998 in which the grounds of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were not set out in the notice of motion and the Honorable Court had this to say: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Respondent has applied that his appeal be struck out as incompetent. Dr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Kamau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Appellant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objected to the notice of motion as being incurably defective for failing to comply with Rule 42(i) of the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Rules of Court. That Rule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states that all applications to the Court shall be by motion, which shall state the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grounds of the application. He submitted that this requirement being mandatory in its language it is not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enough for the grounds to be given only in the supporting affidavit. The Respondent should know the case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he/she has to answer. Ms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Karua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Appellant/Respondent submitted that the ground is stated in the body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application ‘as incompetent’, and if that is not sufficient she asked to be granted leave to amend the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application.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We agree that the notice of motion is defective but the defect is curable and, for that reason, and Ms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Karua</w:t>
      </w:r>
      <w:r w:rsidR="002B2F35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having applied for leave to amend the notice of motion, we grant leave for the Respondent to amend the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 of motion so as to comply with the requirement of Rule 42(i) of the Rules of Court”.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B2F35" w:rsidRDefault="00E77985" w:rsidP="002B2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from this authority that omission to set out grounds for such an application makes the same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defective. In </w:t>
      </w:r>
      <w:r>
        <w:rPr>
          <w:rFonts w:ascii="Times New Roman" w:hAnsi="Times New Roman" w:cs="Times New Roman"/>
          <w:i/>
          <w:iCs/>
          <w:color w:val="000000"/>
        </w:rPr>
        <w:t>Echaria</w:t>
      </w:r>
      <w:r>
        <w:rPr>
          <w:rFonts w:ascii="Times New Roman" w:hAnsi="Times New Roman" w:cs="Times New Roman"/>
          <w:color w:val="000000"/>
        </w:rPr>
        <w:t>’s case, the learned counsel for the Applicant applied for leave to amend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of motion and the court felt obliged to have the notice of motion amended before the court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hear it. In short without the amendment it remained defective. In this case, the same situation arises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as the defect has not been cured by any amendment it stands defective. That would have been enough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dispose of the application before me but certain matters were raised during the submissions in this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which I need to consider as well.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first deal with the question of whether or not requisite statutory notice had been sent to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Applicant. The Applicant says at paragraph 8 of the affidavit of HH Abdi that the Plaintiff companies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not been served with the statutory notice as required by law. In response to that the Respondent has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annexed copies of statutory notices forwarded to the Applicant in July 1993 in respect of three properties.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notices were dated 2 July 1993 and were addressed to “the Managing Director H.H. Abdi and sons,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Transporters (K) Limited”, the Second Applicant herein. The address used in both notices is the same as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address Haithai Haji Abdi has used in the affidavit he did swear in support of this application and that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P O Box 10276, Nairobi. The Applicant in his further affidavit sworn on 7 May 1999 stated at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2 that he understood Respondent’s replying affidavit sworn on 17 March 1998 by George J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Okungu. He however did not reply to this allegation by Okungu that the statutory notices were sent to it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July 1993. Thus although HH Abdi, the chairman and major shareholder of the Applicant companies,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first, alleged that he never received statutory notices, yet when faced with this allegation that the same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notices were forwarded to his companies, he has not denied the receipt of the same notices. I do hold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therefore, that the Applicant has not sworn to my satisfaction,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as to the allegation that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did not serve statutory notices upon it. In any case, this point was not canvassed in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counsel’s submissions.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matter raised by the Applicant/Plaintiff is that the Plaintiff has been servicing the subject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loan with the Defendant. This allegation is found in paragraph 3 of the Plaintiff’s affidavit.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denies this and has annexed several letters annexed as GJO 11, all of which clearly do admit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indebtedness to the Respondent. I have also seen letters marked as GJO 12 and GJO 13 and also bank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 annexed by both parties. Joseph Adongo Alima annexed documents and statements which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showed that between the years 1987 and 1991 the Applicant had paid KShs 36 million to the Defendants.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 Wachira Wamae, the assistant manager with the Respondent’s Harambee Avenue Branch, says this is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false and explains at paragraph 6 that the entries made into the Applicant’s accounts are automatic credits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the loan account as a result of the automatic debiting of the Applicant’s current account which is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in accordance with the operations of the banks. Be that as it may, even if I were to accept that KShs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36 million has been paid to the Respondent by the Applicant (and I have no good reasons to accept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in view of Mr Wamae’s clear explanation in his affidavit) still that amount is alleged to have been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between 1987 and 1991 which would give credit to Wamae’s allegation at paragraph 5 of his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that the Applicant’s accounts have been dormant since 1992 whereas as a result of interest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charged (whatever rate) the loan amount has obviously been increasing. </w:t>
      </w:r>
    </w:p>
    <w:p w:rsidR="002B2F35" w:rsidRDefault="002B2F35" w:rsidP="002B2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7985" w:rsidRDefault="00E77985" w:rsidP="002B2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cannot accept under these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that the Applicant has been servicing the loan granted effectively.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now consider two other matters raised by the Applicant. These are first the allegation at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9 of the Applicant’s supporting affidavit which states that the Respondent is aware that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negotiations were at advanced stage by the Applicant of the sale of the charged properties by private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treaty whereby the proceeds will be much higher and adequate to offset what is lawfully due to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with a balance over to the Applicant and secondly, the allegation at paragraph 11 that there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exists a dispute between the parties as </w:t>
      </w:r>
      <w:r>
        <w:rPr>
          <w:rFonts w:ascii="Times New Roman" w:hAnsi="Times New Roman" w:cs="Times New Roman"/>
          <w:color w:val="000000"/>
        </w:rPr>
        <w:lastRenderedPageBreak/>
        <w:t>to the exact amount due to the Respondent from the Applicant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Respondent has failed and/or refused to have resolved. In my understanding, the first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allegation of negotiations going on to sell the property by private treaty and to pay the proceeds to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amounts to an allegation that the mortgagor has started an action to redeem the property and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allegation that there exists a dispute as to the amount of money due is an allegation on a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on the amount due. The law on such issues is now well settled.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explicitly stated in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>(4 ed) Volume 32, at paragraph 725 as follows: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“725. When the mortgagee may be restrained from exercising power of sale. The mortgagee will not be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restrained from exercising his power of sale because the amount due is in dispute, or because the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mortgagor has began a redemption action, or because the mortgagor objects to the manner in which the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sale is being arranged. He will be restrained, however, if the mortgagor pays the amount claimed into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Court, that is the amount which the mortgagee claims to be due to him, unless on the terms of the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mortgage the claim is excessive”.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legal stand has been adopted in Kenya in several decisions. In the case of </w:t>
      </w:r>
      <w:r>
        <w:rPr>
          <w:rFonts w:ascii="Times New Roman" w:hAnsi="Times New Roman" w:cs="Times New Roman"/>
          <w:i/>
          <w:iCs/>
          <w:color w:val="000000"/>
        </w:rPr>
        <w:t>Lavuna and others v Civil</w:t>
      </w:r>
      <w:r w:rsidR="002B2F3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Servants Housing Co Ltd and another </w:t>
      </w:r>
      <w:r>
        <w:rPr>
          <w:rFonts w:ascii="Times New Roman" w:hAnsi="Times New Roman" w:cs="Times New Roman"/>
          <w:color w:val="000000"/>
        </w:rPr>
        <w:t>[1995] LLR 366 (CAK), Justice Kwach of the Court of Appeal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stated: “I have always understood the law to be that a Court should not grant an injunction restraining a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mortgagee from exercising its statutory power of sale solely on the ground that there is a dispute as to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due under the mortgage”.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settles the allegations about action to redeem which the Applicant alleges the Respondent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ignored and also is an answer to the allegation that the amount in question is still in dispute. However, Dr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Khaminwa</w:t>
      </w:r>
      <w:r>
        <w:rPr>
          <w:rFonts w:ascii="Times New Roman" w:hAnsi="Times New Roman" w:cs="Times New Roman"/>
          <w:color w:val="000000"/>
        </w:rPr>
        <w:t>, the learned counsel for the Applicant, says that the rate of interest charged was excessive and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unconscionable and illegal. The Applicant raises this question of interest at paragraphs 4, 5, and 6 of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sworn by HH Abdi, the chairman of the Applicant’s companies and the main shareholder. At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4, Mr Abdi says that on several occasions he had raised the issue of high interest rates being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on principal sum but the Respondent has failed to give a satisfactory explanation as to how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figures are arrived at. That allegation cannot reflect the whole truth for he never attached even a single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he wrote to the Respondent on the issue of interest. On the contrary, the Respondent has annexed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letters dated 6 September 1994, 18 September 1997 and 10 July 1997, addressed to the Respondent by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Applicant, but none of them has anywhere touched on interest.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5 and 6 of the same Applicant’s affidavit are emphasizing surprise at a situation where a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loan given of KShs 10 000 000 has, because of interest escalated to an enormous amount of KShs 316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637 410-15 and concluding that such a situation is impossible. The last sentence of the </w:t>
      </w:r>
      <w:r>
        <w:rPr>
          <w:rFonts w:ascii="Times New Roman" w:hAnsi="Times New Roman" w:cs="Times New Roman"/>
          <w:i/>
          <w:iCs/>
          <w:color w:val="000000"/>
        </w:rPr>
        <w:t>Halsbury’s Law</w:t>
      </w:r>
      <w:r w:rsidR="002B2F3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of England </w:t>
      </w:r>
      <w:r>
        <w:rPr>
          <w:rFonts w:ascii="Times New Roman" w:hAnsi="Times New Roman" w:cs="Times New Roman"/>
          <w:color w:val="000000"/>
        </w:rPr>
        <w:t>I have quoted above states:“He will be restrained, however, if the mortgagor pays the amount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into Court, that is the amount which the mortgagee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claims to be due to him unless on the terms of the mortgage, the claim is excessive”.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my mind, this means that if the court looks at the terms of the mortgage and finds that the claim is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excessive then the court can interfere or restrain the mortgagee in the exercise of his power of sale. This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takes me to the mortgage documents so as to enable me know if on the terms of the mortgage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charged is excessive or not.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Applicant’s supporting affidavit, the Applicant does not state the offending rate of interest but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further affidavit at paragraph 4, the Applicant states the rate of interest as being 34%.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letter of offer dated 2 December 1986, the provision for interest states: “Interest: To be at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rate of 14% p.a. on monthly rests for the time being, calculated on daily balances. The bank, however,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reserves the right to give notice and thereafter vary the rate of interest charged as may be required”.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accepted these terms and signed the acceptance stating: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read and understood the terms and conditions set out above and append my signature in acceptance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thereof.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Signed Date: 2 December 1986”.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other letter of offer for KShs 7 000 000 dated 26 June 1990 stated interest rate of 19% with the same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that the bank reserved the right to increase the same interest rate. There are provisions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conveying the same sentiments in the charges that the Applicant did execute. It would appear then that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as in interest were matters covered by the contract between the two parties herein. Should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courts intervene in such matters? I do believe that where it is plain to the court that fraud existed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such contracts were entered into or where one party used its superior position to force another into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contractual obligations the courts may intervene and ensure justice to the oppressed, but here there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 evidence of such fraud or oppression.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 as I have stated herein earlier on, there is no complaint that was raised by the Applicant before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properties were threatened with sale. Dr </w:t>
      </w:r>
      <w:r>
        <w:rPr>
          <w:rFonts w:ascii="Times New Roman" w:hAnsi="Times New Roman" w:cs="Times New Roman"/>
          <w:i/>
          <w:iCs/>
          <w:color w:val="000000"/>
        </w:rPr>
        <w:t>Khaminwa</w:t>
      </w:r>
      <w:r>
        <w:rPr>
          <w:rFonts w:ascii="Times New Roman" w:hAnsi="Times New Roman" w:cs="Times New Roman"/>
          <w:color w:val="000000"/>
        </w:rPr>
        <w:t>, the learned counsel for the Applicant, says that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interest in this case and in many other cases in this country is such that the courts should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interfere to ensure justice. He has referred me to the Ruling of Justice O’Kubasu (now judge of Appeal)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Pipe Plastic Samkolit (K) Ltd and another v National Bank of Kenya </w:t>
      </w:r>
      <w:r>
        <w:rPr>
          <w:rFonts w:ascii="Times New Roman" w:hAnsi="Times New Roman" w:cs="Times New Roman"/>
          <w:color w:val="000000"/>
        </w:rPr>
        <w:t>[1996] LLR 62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(CCK).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case with every respect did not make any new proposal on which way to go on the question of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interest. At page 8 and 9 of the typed copy, the Learned Judge says: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have already noted that the principal amount borrowed by the Plaintiff was KShs 21 million. We also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note that the rest of the amount over and above KShs 21 million is interest charged. We cannot say this was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punitive since the Defendant bank was entitled by law and business practice to charge this interest on monthly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basis. There was nothing illegal about this mode of charging interest. However, taking the usual business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practice in which the banks waive same interest on loans advanced, I am of the view that having calculated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interest charged, I find that as the bank had indicated willingness to rescheduling of the repayment it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not be unreasonable to conclude that the bank would be willing to waive some interest charged”.</w:t>
      </w:r>
      <w:r w:rsidR="002B2F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it is upon that background that the Learned Judge ordered waiver of interest. One easily sees that no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principles were involved in that exercise. That case, with every respect, does not help in this matter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me. Neither is </w:t>
      </w:r>
      <w:r>
        <w:rPr>
          <w:rFonts w:ascii="Times New Roman" w:hAnsi="Times New Roman" w:cs="Times New Roman"/>
          <w:i/>
          <w:iCs/>
          <w:color w:val="000000"/>
        </w:rPr>
        <w:t xml:space="preserve">Thomson Dictionary of Banking </w:t>
      </w:r>
      <w:r>
        <w:rPr>
          <w:rFonts w:ascii="Times New Roman" w:hAnsi="Times New Roman" w:cs="Times New Roman"/>
          <w:color w:val="000000"/>
        </w:rPr>
        <w:t>at 330 of great help to me as the passage cited by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 </w:t>
      </w:r>
      <w:r>
        <w:rPr>
          <w:rFonts w:ascii="Times New Roman" w:hAnsi="Times New Roman" w:cs="Times New Roman"/>
          <w:i/>
          <w:iCs/>
          <w:color w:val="000000"/>
        </w:rPr>
        <w:t xml:space="preserve">Khaminwa </w:t>
      </w:r>
      <w:r>
        <w:rPr>
          <w:rFonts w:ascii="Times New Roman" w:hAnsi="Times New Roman" w:cs="Times New Roman"/>
          <w:color w:val="000000"/>
        </w:rPr>
        <w:t xml:space="preserve">deals with interest in a judgment for mortgage. Willies </w:t>
      </w:r>
      <w:r>
        <w:rPr>
          <w:rFonts w:ascii="Times New Roman" w:hAnsi="Times New Roman" w:cs="Times New Roman"/>
          <w:i/>
          <w:iCs/>
          <w:color w:val="000000"/>
        </w:rPr>
        <w:t xml:space="preserve">Principals of South African Law </w:t>
      </w:r>
      <w:r>
        <w:rPr>
          <w:rFonts w:ascii="Times New Roman" w:hAnsi="Times New Roman" w:cs="Times New Roman"/>
          <w:color w:val="000000"/>
        </w:rPr>
        <w:t>(7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ed) on area of interest not to exceed capital found at 443, I agree would be excellent law but I cannot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it here because it is a legal proposition that has arisen from the legislation in South Africa. Here in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we have no such code and I cannot apply that code here under the pretence of interpreting our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to ensure justice where there is no similar provision in our law to enable me apply the liberal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approach to the interpretation of it. Dr </w:t>
      </w:r>
      <w:r>
        <w:rPr>
          <w:rFonts w:ascii="Times New Roman" w:hAnsi="Times New Roman" w:cs="Times New Roman"/>
          <w:i/>
          <w:iCs/>
          <w:color w:val="000000"/>
        </w:rPr>
        <w:t xml:space="preserve">Khaminwa </w:t>
      </w:r>
      <w:r>
        <w:rPr>
          <w:rFonts w:ascii="Times New Roman" w:hAnsi="Times New Roman" w:cs="Times New Roman"/>
          <w:color w:val="000000"/>
        </w:rPr>
        <w:t>referred me to the judgment of Gillespie J in the South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African case where the application of the </w:t>
      </w:r>
      <w:r>
        <w:rPr>
          <w:rFonts w:ascii="Times New Roman" w:hAnsi="Times New Roman" w:cs="Times New Roman"/>
          <w:i/>
          <w:iCs/>
          <w:color w:val="000000"/>
        </w:rPr>
        <w:t xml:space="preserve">in duplum </w:t>
      </w:r>
      <w:r>
        <w:rPr>
          <w:rFonts w:ascii="Times New Roman" w:hAnsi="Times New Roman" w:cs="Times New Roman"/>
          <w:color w:val="000000"/>
        </w:rPr>
        <w:t>rule was discussed. I do agree with the reasons for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 and I would it were the law in this country. Unfortunately, it is applicable under ancient Roman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Dutch Law and is applicable in South Africa, but not in this country.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that rule, interest cannot accrue after the amount of the double is reached. Thus the financial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institutions have to be on their guard to ensure that the debt is paid within the period for which it was to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repaid. If a creditor extends credit to a hard risk or fails to call up his debt at a proper time when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loan is being serviced, then such a creditor stands to suffer.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agree that such a legal proposition might be ideal in this country as it would ensure that the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debtors do not suffer the requirements upon them to pay extra-large interests caused by the indolence and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lapse or deliberate failure by the creditors so as to let the unserviced loans accumulate interest to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unimaginable levels. It will protect the debtors as well as ensuring that the creditors get their money back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further circulation and hence the economy will be healthy. However, to introduce this Dutch law by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of a judgment or a ruling into the common law country will in my opinion be too drastic a step to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as it will not be based on any existing legal authority or statute whatsoever in our country. It is law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had better be introduced by way of legislation. I do agree that liberalisation of interest rates in this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country in 1991 may have done more harm to the economy and something should be done about it but I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not think a decision such as in a judgment would be a proper one.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all the above, I am satisfied that the Applicant has advanced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probability of success for even if I were to find that interest charged was unconscionable, still it would in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end be no more than a dispute as to the amount due which in law as I have stated is not a proper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for granting injunction. As I had found that no evidence was advanced to satisfy me that no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notice was served, the Respondent’s power of sale has arisen. On the question of irreparable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damage, the Applicant himself has said that it was negotiating selling the property by private treaty.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 sentimental loss is non-existent. Quantifiable loss through sale of the property can be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compensated by the Respondent – a bank which I have not been told is bankrupt and would be unable to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compensate the Applicant in case of the Applicant’s eventual success in this case. As the amount due is a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big one, balance of convenience favours its being recovered. Thus the requirements under </w:t>
      </w:r>
      <w:r>
        <w:rPr>
          <w:rFonts w:ascii="Times New Roman" w:hAnsi="Times New Roman" w:cs="Times New Roman"/>
          <w:i/>
          <w:iCs/>
          <w:color w:val="000000"/>
        </w:rPr>
        <w:t>Gielle</w:t>
      </w:r>
      <w:r>
        <w:rPr>
          <w:rFonts w:ascii="Times New Roman" w:hAnsi="Times New Roman" w:cs="Times New Roman"/>
          <w:color w:val="000000"/>
        </w:rPr>
        <w:t>’s case</w:t>
      </w:r>
      <w:r w:rsidR="002B2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not been satisfied by the application</w:t>
      </w:r>
      <w:r w:rsidR="002B2F35">
        <w:rPr>
          <w:rFonts w:ascii="Times New Roman" w:hAnsi="Times New Roman" w:cs="Times New Roman"/>
          <w:color w:val="000000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upshot of all these is that this application cannot succeed. It is hereby dismissed with costs to the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Respondent.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Orders accordingly.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E77985" w:rsidRDefault="00E77985" w:rsidP="00E77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E77985" w:rsidP="00E77985">
      <w:r>
        <w:rPr>
          <w:rFonts w:ascii="Times New Roman" w:hAnsi="Times New Roman" w:cs="Times New Roman"/>
          <w:i/>
          <w:iCs/>
          <w:color w:val="000000"/>
        </w:rPr>
        <w:lastRenderedPageBreak/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85"/>
    <w:rsid w:val="002B2F35"/>
    <w:rsid w:val="003F18BF"/>
    <w:rsid w:val="00E7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41C7C-5863-43E5-9FBD-B1598DD9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2018-07-05T10:53:00Z</dcterms:created>
  <dcterms:modified xsi:type="dcterms:W3CDTF">2018-07-13T18:12:00Z</dcterms:modified>
</cp:coreProperties>
</file>