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Pioneer General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Assce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Soc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Mukasa</w:t>
      </w:r>
      <w:proofErr w:type="spellEnd"/>
    </w:p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April 1974</w:t>
      </w:r>
    </w:p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9/1974 (58/74)</w:t>
      </w:r>
    </w:p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Mustafa JA</w:t>
      </w:r>
    </w:p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Insurance – Motor insurance – Compulsory third party insurance – Breach of condition – Insurer</w:t>
      </w:r>
    </w:p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entitled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rely on breach of condition against insured.</w:t>
      </w:r>
    </w:p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Insurance – Motor insurance – Breach of condition – Breach contributed to by insurer – Effect of.</w:t>
      </w:r>
    </w:p>
    <w:p w:rsidR="00D932BA" w:rsidRDefault="001B0E93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B0E93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1B0E93" w:rsidRDefault="00D932BA" w:rsidP="001B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The respondent was the owner of a motor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 which, on 17 April, 1970, was involved in an accident in which a man was killed. The deceased’s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widow sued the respondent and recovered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25,000/- damages and costs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4,530/-. The car was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material time covered by a comprehensive policy of insurance issued by the appellant company.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Instead of claiming these damages and costs from the appellant company, the widow levied execution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respondent. He in turn sued the appellant company praying for a declaration that it was liable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policy of insurance to indemnify him in respect of the decretal amount obtained against him by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widow. The appellant company by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claimed to be under no such liability by reason of an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breach of a condition of the policy committed by the respondent. This was his failure to report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occurrence of the accident in writing and as soon as possible, as stipulated in conditions 2 and 4 of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policy, condition 10 whereof further stipulated that due observance of the terms of the policy should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conditions precedent to any liability on the part of the appellant company.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held that “as soon as possible” meant a reasonable period according to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circumstances. He did not say specifically that the report in this case was made within a reasonable time,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this finding is in my opinion implicit from the fact that he gave judgment for the respondent. He also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“In any event s. 102 of the Traffic Act 1951, which was in force when this policy was taken up,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ignored,” and held that this section prohibited the appellant company from relying on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non-compliance of conditions in the policy.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latter finding is the subject of one of the main grounds of appeal argued by Mr. </w:t>
      </w:r>
      <w:proofErr w:type="spellStart"/>
      <w:r>
        <w:rPr>
          <w:rFonts w:ascii="Times New Roman" w:hAnsi="Times New Roman" w:cs="Times New Roman"/>
          <w:color w:val="000000"/>
        </w:rPr>
        <w:t>Kateera</w:t>
      </w:r>
      <w:proofErr w:type="spellEnd"/>
      <w:r>
        <w:rPr>
          <w:rFonts w:ascii="Times New Roman" w:hAnsi="Times New Roman" w:cs="Times New Roman"/>
          <w:color w:val="000000"/>
        </w:rPr>
        <w:t>, that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s. 102 aforesaid preserves the rights of third parties, the conditions of the policy remained effective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between the parties to the contract of insurance and were a condition precedent to liability on the part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appellant company in a suit for indemnity brought by the respondent.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102 aforesaid is to this effect, so far as it is material: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condition in a policy of insurance providing that no liability shall arise under the policy . . . shall, as</w:t>
      </w:r>
      <w:r w:rsidR="001B0E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respects such liabilities as are required to be covered by a policy under section 99 of this Act, be of no</w:t>
      </w:r>
      <w:r w:rsidR="001B0E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effect.”</w:t>
      </w:r>
      <w:r w:rsidR="001B0E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liabilities required to be covered under s. 99 are liabilities in respect of third parties. Such a third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party, in a claim against an insurance company, is not affected by conditions in the policy which may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relieve the company of liability towards the insured, but these conditions remain effective contractually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company and the insured. We are not concerned here with a claim by the third party, against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whom a condition that the insured must report the accident as soon as possible in writing would have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of no effect, under s. 102 aforesaid. That section is similar to s. 206 (2) of the Road Traffic Act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1960, of England. As is stated by Kahn-Freund, in dealing with this subject in </w:t>
      </w:r>
      <w:r>
        <w:rPr>
          <w:rFonts w:ascii="Times New Roman" w:hAnsi="Times New Roman" w:cs="Times New Roman"/>
          <w:i/>
          <w:iCs/>
          <w:color w:val="000000"/>
        </w:rPr>
        <w:t>The Law of Carriage by</w:t>
      </w:r>
      <w:r w:rsidR="001B0E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Inland Transport</w:t>
      </w:r>
      <w:r>
        <w:rPr>
          <w:rFonts w:ascii="Times New Roman" w:hAnsi="Times New Roman" w:cs="Times New Roman"/>
          <w:color w:val="000000"/>
        </w:rPr>
        <w:t xml:space="preserve">, 4th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</w:t>
      </w:r>
      <w:proofErr w:type="gramEnd"/>
      <w:r>
        <w:rPr>
          <w:rFonts w:ascii="Times New Roman" w:hAnsi="Times New Roman" w:cs="Times New Roman"/>
          <w:color w:val="000000"/>
        </w:rPr>
        <w:t xml:space="preserve"> at p. 550, restrictive conditions in a policy are of no effect in so far as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is compulsory. Third parties are enabled to recover their damages from the insurer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notwithstanding such conditions. Such conditions are not void, but in relation to third parties the insurer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rely on them. He can however seek to enforce them against the insured, and that is what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company is seeking to do here, in a suit between the insured and the company with which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party is not concerned.</w:t>
      </w:r>
      <w:r w:rsidR="001B0E93">
        <w:rPr>
          <w:rFonts w:ascii="Times New Roman" w:hAnsi="Times New Roman" w:cs="Times New Roman"/>
          <w:color w:val="000000"/>
        </w:rPr>
        <w:t xml:space="preserve"> </w:t>
      </w:r>
    </w:p>
    <w:p w:rsidR="00D932BA" w:rsidRDefault="00D932BA" w:rsidP="001B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It should be noted that it was never part of the case in the High Court, whether in pleadings or in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argument, that s. 102 had the effect of nullifying contractual conditions in a policy, in a suit between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insured and the appellant company as insurer arising out of that policy. With respect to the trial judge, 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not have based his decision, to a substantial extent, on a statutory provision not pleaded or relied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upon by the </w:t>
      </w:r>
      <w:r>
        <w:rPr>
          <w:rFonts w:ascii="Times New Roman" w:hAnsi="Times New Roman" w:cs="Times New Roman"/>
          <w:color w:val="000000"/>
        </w:rPr>
        <w:lastRenderedPageBreak/>
        <w:t>parties to the suit, without giving them an opportunity of being heard. Had he done so, 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have come to the conclusion that s. 102 only applied to claims by third parties enjoying the benefit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compulsory third party protection conferred by statute, and had no application to a suit between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insured and his insurer.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with all due respect to the trial judge, s. 102 was irrelevant to the issue which he had to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decide, and this part of the appeal succeeds.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now remains to be considered the second main ground of appeal, which is directed against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implicit finding in the judgment that the appellant company was not entitled to repudiate its liability to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indemnify the respondent against the judgment recovered by the widow.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condition 2 in the policy, as read with condition 4, any occurrence which may give rise to a claim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policy shall as soon as possible be given in writing to the insurer. By condition 10, the due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observance of the terms of the policy are made a condition precedent to any liability by the insurer.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Non-compliance with a condition precedent may be fatal to a claim for an indemnity, see </w:t>
      </w:r>
      <w:r>
        <w:rPr>
          <w:rFonts w:ascii="Times New Roman" w:hAnsi="Times New Roman" w:cs="Times New Roman"/>
          <w:i/>
          <w:iCs/>
          <w:color w:val="000000"/>
        </w:rPr>
        <w:t>Austin v. Zurich</w:t>
      </w:r>
      <w:r w:rsidR="001B0E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General Accident</w:t>
      </w:r>
      <w:r>
        <w:rPr>
          <w:rFonts w:ascii="Times New Roman" w:hAnsi="Times New Roman" w:cs="Times New Roman"/>
          <w:color w:val="000000"/>
        </w:rPr>
        <w:t xml:space="preserve">, [1944] 2 All E.R. 243. In </w:t>
      </w:r>
      <w:r>
        <w:rPr>
          <w:rFonts w:ascii="Times New Roman" w:hAnsi="Times New Roman" w:cs="Times New Roman"/>
          <w:i/>
          <w:iCs/>
          <w:color w:val="000000"/>
        </w:rPr>
        <w:t>Williams v. Lancashire and Yorkshire Accident Insurance</w:t>
      </w:r>
      <w:r w:rsidR="001B0E9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</w:t>
      </w:r>
      <w:r>
        <w:rPr>
          <w:rFonts w:ascii="Times New Roman" w:hAnsi="Times New Roman" w:cs="Times New Roman"/>
          <w:color w:val="000000"/>
        </w:rPr>
        <w:t>. (1902), 19 T.L.R. 82, delay of two months in reporting an accident was held sufficient to entitle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company to repudiate liability; that case however concerned insurance under the Workman’s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Compensation Act, and the condition required “immediate” notice of the accident, and specified that time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of the essence of this condition.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the case now under consideration are not in dispute, and are as follows: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accident occurred on 17 April 1970. The respondent reported it within two weeks to an Asian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 of the appellant company by telephone. He was told to collect a form at the office of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company and did so a further fortnight later. The respondent was told he could complete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form at his leisure by one Mr. </w:t>
      </w:r>
      <w:proofErr w:type="spellStart"/>
      <w:r>
        <w:rPr>
          <w:rFonts w:ascii="Times New Roman" w:hAnsi="Times New Roman" w:cs="Times New Roman"/>
          <w:color w:val="000000"/>
        </w:rPr>
        <w:t>Umedali</w:t>
      </w:r>
      <w:proofErr w:type="spellEnd"/>
      <w:r>
        <w:rPr>
          <w:rFonts w:ascii="Times New Roman" w:hAnsi="Times New Roman" w:cs="Times New Roman"/>
          <w:color w:val="000000"/>
        </w:rPr>
        <w:t>, described as the “top man” in the appellant company’s Kampala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 at that time. The respondent is a schoolmaster, and at about that time was sent to Nairobi on a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course. The respondent did not complete the form and send it to the appellant company until 22 August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1970, a little over 4 months after the date of the accident. By a letter dated 26 August 1970, the appellant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told the respondent that it was entitled to repudiate liability by reason of the delay, but did not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so in terms. Instead it said that: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at its option and without admittance of any liability (it) may take such action as in its discretion deems fit</w:t>
      </w:r>
      <w:r w:rsidR="001B0E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assist you but shall have recourse against you for repayment . . . of all sums for repayment of claim or any</w:t>
      </w:r>
      <w:r w:rsidR="001B0E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costs incurred or arising out of the said claim.”</w:t>
      </w:r>
      <w:r w:rsidR="001B0E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March 1971, the appellant company arranged for the legal representation of the respondent in the suit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brought against him by the widow. She recovered nearly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30,000/- in damages and costs. She did not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 to claim this sum from the appellant company, which (we were informed) had by then closed its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Kampala office. Instead she proceeded to execution against the respondent personally. After judgment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given, but before the execution proceedings, the respondent went to see Mr. </w:t>
      </w:r>
      <w:proofErr w:type="spellStart"/>
      <w:r>
        <w:rPr>
          <w:rFonts w:ascii="Times New Roman" w:hAnsi="Times New Roman" w:cs="Times New Roman"/>
          <w:color w:val="000000"/>
        </w:rPr>
        <w:t>Janjua</w:t>
      </w:r>
      <w:proofErr w:type="spellEnd"/>
      <w:r>
        <w:rPr>
          <w:rFonts w:ascii="Times New Roman" w:hAnsi="Times New Roman" w:cs="Times New Roman"/>
          <w:color w:val="000000"/>
        </w:rPr>
        <w:t xml:space="preserve"> who was then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representing the appellant company in Kampala. Mr. </w:t>
      </w:r>
      <w:proofErr w:type="spellStart"/>
      <w:r>
        <w:rPr>
          <w:rFonts w:ascii="Times New Roman" w:hAnsi="Times New Roman" w:cs="Times New Roman"/>
          <w:color w:val="000000"/>
        </w:rPr>
        <w:t>Janjua</w:t>
      </w:r>
      <w:proofErr w:type="spellEnd"/>
      <w:r>
        <w:rPr>
          <w:rFonts w:ascii="Times New Roman" w:hAnsi="Times New Roman" w:cs="Times New Roman"/>
          <w:color w:val="000000"/>
        </w:rPr>
        <w:t xml:space="preserve"> told him the company would satisfy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decree if he brought the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600/- “excess” he was bound to pay on any claim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under the policy, and added “the sooner you pay that sum the better”. Within a week the respondent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raised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600/- and took it to Mr. </w:t>
      </w:r>
      <w:proofErr w:type="spellStart"/>
      <w:r>
        <w:rPr>
          <w:rFonts w:ascii="Times New Roman" w:hAnsi="Times New Roman" w:cs="Times New Roman"/>
          <w:color w:val="000000"/>
        </w:rPr>
        <w:t>Janjua</w:t>
      </w:r>
      <w:proofErr w:type="spellEnd"/>
      <w:r>
        <w:rPr>
          <w:rFonts w:ascii="Times New Roman" w:hAnsi="Times New Roman" w:cs="Times New Roman"/>
          <w:color w:val="000000"/>
        </w:rPr>
        <w:t>, only to be told that the appellant company was repudiating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liability. The question is whether, in these circumstances, the appellant company is entitled to repudiate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liability to indemnify the respondent, relying on the latter’s failure to report the accident as soon as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 in writing. In my considered opinion, it is not. On the respondent’s unchallenged and unrebutted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he was told when he reported the accident by telephone that he must complete a form to be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obtained at the appellant company’s office; and when he collected the form, he was told that he could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complete it “at his leisure”. Quite clearly he was led to believe that there was no urgency in reporting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particulars of the accident in writing. Relying on this assurance, he took his time and did not submit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completed form for a further 3 months. He was dilatory, but had no reason at that stage to believe that his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dilatoriness would be held against him. If the appellant company wanted to avail itself of the condition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accident must be reported as soon as possible in writing, it should have so informed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when he reported by telephone, or at the latest when he collected the form. It did not do so.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contrary it misled the respondent into believing that there was no urgency. The appellant company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taken, in my opinion, to have waived its right to repudiate liability to indemnify the respondent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reason of a breach by him of conditions 2 and 4 of the policy. I am in agreement with the trial judge’s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implicit finding that the report in this case was, in all the circumstances, made within a reasonable time.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affirm the decree appealed from, although not on the statutory ground relied on by the judge,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dismiss this appeal with costs.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Sir </w:t>
      </w:r>
      <w:r>
        <w:rPr>
          <w:rFonts w:ascii="Times New Roman" w:hAnsi="Times New Roman" w:cs="Times New Roman"/>
          <w:b/>
          <w:bCs/>
          <w:color w:val="000000"/>
        </w:rPr>
        <w:lastRenderedPageBreak/>
        <w:t xml:space="preserve">William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Duffus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P: </w:t>
      </w:r>
      <w:r>
        <w:rPr>
          <w:rFonts w:ascii="Times New Roman" w:hAnsi="Times New Roman" w:cs="Times New Roman"/>
          <w:color w:val="000000"/>
        </w:rPr>
        <w:t>I agree with the judgment of the Acting Vice-President and as Mustafa, J. A.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agrees the appeal is dismissed with costs.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I have read and agree with the judgment prepared by Law, Ag. V.-P. and I concur in the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proposed by him.</w:t>
      </w:r>
      <w:r w:rsidR="001B0E9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Appeal dismissed</w:t>
      </w:r>
    </w:p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Kateera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Hunter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Greig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p w:rsidR="00D932BA" w:rsidRDefault="00D932BA" w:rsidP="00D9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B48C8" w:rsidRDefault="00D932BA" w:rsidP="00D932BA">
      <w:r>
        <w:rPr>
          <w:rFonts w:ascii="Times New Roman" w:hAnsi="Times New Roman" w:cs="Times New Roman"/>
          <w:i/>
          <w:iCs/>
          <w:color w:val="000000"/>
        </w:rPr>
        <w:t xml:space="preserve">JBM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Balikuddembe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Mpungu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Balikuddembe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BA"/>
    <w:rsid w:val="001B0E93"/>
    <w:rsid w:val="006B48C8"/>
    <w:rsid w:val="00D9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E4BA4-3811-44AF-B7EB-A75ADFCC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2018-07-05T13:41:00Z</dcterms:created>
  <dcterms:modified xsi:type="dcterms:W3CDTF">2018-07-13T18:14:00Z</dcterms:modified>
</cp:coreProperties>
</file>