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Pioneer General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Assce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Soc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Ziwa</w:t>
      </w:r>
      <w:proofErr w:type="spellEnd"/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161 (CAK)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April 1974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8/1974 (57/74)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Mustafa JA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Insurance – Motor Insurance – Compulsory third party insurance – Owner of goods carried in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commercial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vehicle – Carriage for hire or reward – Constitutes carriage for hire or reward.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Statute – Repeal – Acquired rights – Statute repealed after traffic accident but before judgment –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Rights against insurer not affected – Interpretation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16),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15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37FD8" w:rsidRDefault="00837FD8" w:rsidP="00B36B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hired a vehicle for the transport of his goods and was travelling in it as a passenger when</w:t>
      </w:r>
      <w:r w:rsidR="00B36B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injured. He recovered damages and then sued the appellant and recovered the amount of the</w:t>
      </w:r>
      <w:r w:rsidR="00B36B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damages.</w:t>
      </w:r>
      <w:r w:rsidR="00B36B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period between the accident and the obtaining of judgment against the operator of the vehicle,</w:t>
      </w:r>
      <w:r w:rsidR="00B36B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legislation allowing recovery against the insurer had been repealed.</w:t>
      </w:r>
      <w:r w:rsidR="00B36B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 there were two issues, firstly whether the respondent had any rights under a repealed Act,</w:t>
      </w:r>
      <w:r w:rsidR="00B36B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secondly whether the vehicle was one in which passengers were carried for hire or reward.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the date of the accident the respondent had a right against the appellant which was not affected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the subsequent repeal of the Act;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transaction was clearly a commercial one and it was implicit that the owner or his agent would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accompany</w:t>
      </w:r>
      <w:proofErr w:type="gramEnd"/>
      <w:r>
        <w:rPr>
          <w:rFonts w:ascii="Times New Roman" w:hAnsi="Times New Roman" w:cs="Times New Roman"/>
          <w:color w:val="000000"/>
        </w:rPr>
        <w:t xml:space="preserve"> the goods (</w:t>
      </w:r>
      <w:r>
        <w:rPr>
          <w:rFonts w:ascii="Times New Roman" w:hAnsi="Times New Roman" w:cs="Times New Roman"/>
          <w:i/>
          <w:iCs/>
          <w:color w:val="000000"/>
        </w:rPr>
        <w:t xml:space="preserve">Albert v. Motor Insurers’ Bureau </w:t>
      </w:r>
      <w:r>
        <w:rPr>
          <w:rFonts w:ascii="Times New Roman" w:hAnsi="Times New Roman" w:cs="Times New Roman"/>
          <w:color w:val="000000"/>
        </w:rPr>
        <w:t>(1) considered).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  <w:bookmarkStart w:id="0" w:name="_GoBack"/>
      <w:bookmarkEnd w:id="0"/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837FD8" w:rsidRDefault="00837FD8" w:rsidP="0083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Albert v. Motor Insurers’ Bureau</w:t>
      </w:r>
      <w:r>
        <w:rPr>
          <w:rFonts w:ascii="Times New Roman" w:hAnsi="Times New Roman" w:cs="Times New Roman"/>
          <w:color w:val="000000"/>
        </w:rPr>
        <w:t>, [1972] A.C. 301; [1971] 2 All E.R. 1345.</w:t>
      </w:r>
    </w:p>
    <w:p w:rsidR="006B48C8" w:rsidRDefault="00837FD8" w:rsidP="00837FD8">
      <w:r>
        <w:rPr>
          <w:rFonts w:ascii="Times New Roman" w:hAnsi="Times New Roman" w:cs="Times New Roman"/>
          <w:color w:val="000000"/>
        </w:rPr>
        <w:t xml:space="preserve">Judgment of the High Court sub. </w:t>
      </w:r>
      <w:proofErr w:type="gramStart"/>
      <w:r>
        <w:rPr>
          <w:rFonts w:ascii="Times New Roman" w:hAnsi="Times New Roman" w:cs="Times New Roman"/>
          <w:color w:val="000000"/>
        </w:rPr>
        <w:t>nom</w:t>
      </w:r>
      <w:proofErr w:type="gram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Ziwa</w:t>
      </w:r>
      <w:proofErr w:type="spellEnd"/>
      <w:r>
        <w:rPr>
          <w:rFonts w:ascii="Times New Roman" w:hAnsi="Times New Roman" w:cs="Times New Roman"/>
          <w:color w:val="000000"/>
        </w:rPr>
        <w:t xml:space="preserve"> v. Pioneer General </w:t>
      </w:r>
      <w:proofErr w:type="spellStart"/>
      <w:r>
        <w:rPr>
          <w:rFonts w:ascii="Times New Roman" w:hAnsi="Times New Roman" w:cs="Times New Roman"/>
          <w:color w:val="000000"/>
        </w:rPr>
        <w:t>Assce</w:t>
      </w:r>
      <w:proofErr w:type="spellEnd"/>
      <w:r>
        <w:rPr>
          <w:rFonts w:ascii="Times New Roman" w:hAnsi="Times New Roman" w:cs="Times New Roman"/>
          <w:color w:val="000000"/>
        </w:rPr>
        <w:t xml:space="preserve"> [1974] E.A. 141 upheld.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D8"/>
    <w:rsid w:val="006B48C8"/>
    <w:rsid w:val="00837FD8"/>
    <w:rsid w:val="00B3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FD920-A144-45C2-B0A3-267C84D1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2018-07-05T13:39:00Z</dcterms:created>
  <dcterms:modified xsi:type="dcterms:W3CDTF">2018-07-13T18:16:00Z</dcterms:modified>
</cp:coreProperties>
</file>