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72E" w:rsidRDefault="002D472E" w:rsidP="002D4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Pioneer General Assce Soc Ltd v Ziwa</w:t>
      </w:r>
    </w:p>
    <w:p w:rsidR="002D472E" w:rsidRDefault="002D472E" w:rsidP="002D4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2D472E" w:rsidRDefault="002D472E" w:rsidP="002D4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2D472E" w:rsidRDefault="002D472E" w:rsidP="002D4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April 1974</w:t>
      </w:r>
    </w:p>
    <w:p w:rsidR="002D472E" w:rsidRDefault="002D472E" w:rsidP="002D4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8/1974 (57/74)</w:t>
      </w:r>
    </w:p>
    <w:p w:rsidR="002D472E" w:rsidRDefault="002D472E" w:rsidP="002D4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William Duffus P, Law Ag V-P and Mustafa JA</w:t>
      </w:r>
    </w:p>
    <w:p w:rsidR="002D472E" w:rsidRDefault="002D472E" w:rsidP="002D4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2D472E" w:rsidRDefault="002D472E" w:rsidP="002D4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Uganda – Musoke, J</w:t>
      </w:r>
    </w:p>
    <w:p w:rsidR="002D472E" w:rsidRDefault="002D472E" w:rsidP="002D4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Insurance – Motor Insurance – Compulsory third party insurance – Owner of goods carried in</w:t>
      </w:r>
    </w:p>
    <w:p w:rsidR="002D472E" w:rsidRDefault="002D472E" w:rsidP="002D4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commercial vehicle – Carriage for hire or reward – Constitutes carriage for hire or reward.</w:t>
      </w:r>
    </w:p>
    <w:p w:rsidR="002D472E" w:rsidRDefault="002D472E" w:rsidP="002D4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Statute – Repeal – Acquired rights – Statute repealed after traffic accident but before judgment –</w:t>
      </w:r>
    </w:p>
    <w:p w:rsidR="002D472E" w:rsidRDefault="002D472E" w:rsidP="002D4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Rights against insurer not affected – Interpretation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16),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15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2D472E" w:rsidRDefault="00A83952" w:rsidP="002D4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A83952" w:rsidRDefault="002D472E" w:rsidP="002D4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</w:p>
    <w:p w:rsidR="00A83952" w:rsidRDefault="002D472E" w:rsidP="00A839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The respondent (who I will call the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plaintiff) had obtained judgment in the High Court of Uganda against the appellant (who I will call the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defendant). The plaintiff had hired a Toyota pick-up, registration UQU 671, from one Kigundu (who I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call the insured) for the transportation of his goods. The said vehicle was insured with the defendant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a commercial motor vehicle policy. When the plaintiff’s goods were being transported the plaintiff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 the vehicle as a passenger. The vehicle was involved in an accident as a result of which the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was injured. The plaintiff sued the insured in the High Court, and obtained judgment in the sum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Shs. 40,000/- plus taxed costs and interest. The plaintiff failed to recover the decretal sum from the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insured Kigundu. He then filed a suit against the defendant to recover the decretal awarded, and was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successful. It is from that decision that the defendant has appealed.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sued the defendant under s. 104 of the Traffic Act 1951 (Cap. 342), (hereinafter referred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as the Act). The accident took place on 23 November 1970. The plaintiff recovered judgment against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insured on 23 July 1971. He filed a suit against the defendant for recovery of the decretal sum on 10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January 1973. The Act was repealed and replaced by the Traffic and Road Safety Act 1970 on 1 January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1971.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104 (1) of the Act reads: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“If, after a policy of insurance has been effected, judgment in respect of any such liability as is required to be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covered by a policy under paragraph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section 99 of this Act, being a liability covered by the terms of the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policy, is obtained against any person insured by the policy, then notwithstanding that the insurer may be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entitled to avoid or cancel, or may have avoided or cancelled, the policy, the insurer shall, subject to the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provisions of this section, pay to the persons entitled to the benefit of the judgment any sum payable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thereunder in respect of the liability, including any amount payable in respect of costs or any sum payable in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respect of interest on that sum by virtue of any enactment relating to interests on judgments.”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S. 98 (1) of the Act reads: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“Subject to the provisions of this Act, it shall not be lawful for any person to use, or to cause or to permit any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person to use, a motor vehicle on a road unless there is in force in relation to the user of the vehicle by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person or that other person, as the case may be, such a policy of insurance or such security in respect of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third party risks as complies with the requirements of the Act.”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S. 99 specifies the requirements of the Act in respect of insurance policies. The person or persons or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classes of persons as may be specified in the policies have to be insured against liability: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“which may be incurred by him or them in respect of the death of or bodily injury to any person caused by or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arising out of the use of the vehicle on the road”.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However proviso (ii) to s. 99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reads: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“Provided that a policy in terms of this section shall not be required to cover – except in the case of a vehicle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which passengers are carried for hire or reward, or by reason of or in pursuance of a contract of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employment, liability in respect of the death of or bodily injury to persons being carried in or upon or entering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getting on to or alighting from the vehicle at the time of the occurrence of the event out of which the claims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arise.”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short, for the purpose of this appeal, risk to passengers does not have to be covered, except in the case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 vehicle in which passengers are carried for hire or reward.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trial judge considered, among other cases, the recent House of Lords decision in </w:t>
      </w:r>
      <w:r>
        <w:rPr>
          <w:rFonts w:ascii="Times New Roman" w:hAnsi="Times New Roman" w:cs="Times New Roman"/>
          <w:i/>
          <w:iCs/>
          <w:color w:val="000000"/>
        </w:rPr>
        <w:t>Albert v. Motor</w:t>
      </w:r>
      <w:r w:rsidR="00A8395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Insurers’ Bureau</w:t>
      </w:r>
      <w:r>
        <w:rPr>
          <w:rFonts w:ascii="Times New Roman" w:hAnsi="Times New Roman" w:cs="Times New Roman"/>
          <w:color w:val="000000"/>
        </w:rPr>
        <w:t>, [1971] 2 All E.R. 1345 where the phrase “a vehicle in which passengers are carried for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hire or reward” used in English Traffic Acts, which have similar provisions to the Act, was exhaustively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considered. He found that there was no evidence before him “to show that the insured, before the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accident, was in the habit of carrying passengers in his motor vehicle so as to make it a vehicle in which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passengers are carried for hire and reward, within the meaning of s. 99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(ii) of the Act”.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however apparently </w:t>
      </w:r>
      <w:r>
        <w:rPr>
          <w:rFonts w:ascii="Times New Roman" w:hAnsi="Times New Roman" w:cs="Times New Roman"/>
          <w:color w:val="000000"/>
        </w:rPr>
        <w:lastRenderedPageBreak/>
        <w:t>adopted and followed the minority view expressed by Viscount Dilhorne who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that: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use of a car even on one isolated occasion for that purpose makes the car a vehicle in which passengers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 carried for hire or reward”.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held that it would be unrealistic to hold that the vehicle at the material time was outside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s. 99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(ii) of the Act as it was a commercial vehicle and had been insured as such,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plaintiff was travelling on it when it was engaged in business. He invoked the provisions of s.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102 of Act which reads: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“Any condition in a policy of insurance providing that no liability shall arise under the policy or that any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liability so arising shall cease in the event of some specified thing being done or omitted to be done after the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happening of the event giving rise to a claim under the policy, shall, as respects such liabilities as are required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be covered by a policy under Section 99 of this Act, be of no effect”.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There is a proviso which is not relevant.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held that the inclusion of exceptions in terms of s. 99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(ii) and the exclusion of use for hire and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reward in the policy were void under s. 102, and gave judgment for the plaintiff.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Kateera for the defendant appeals on two main grounds: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The Act was repealed and replaced by the new Act of 1970 and could not be relied on by the plaintiff,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The plaintiff was not covered by the policy.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will first deal with the question of repeal. Unfortunately the trial judge failed to deal with this issue,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it was argued before him, and I will have to decide this point without the benefit of his opinion.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was repealed and replaced by the Road Safety Act 1970 on 1 January 1971. S. 104 of the Act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omitted from the repealing Act. The repealing Act does not contain provisions giving a third party a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of action against an insurer. Mr. Kateera submitted that in terms of s. 104 of the Act, a third party’s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of action only arises after he has obtained judgment against an insured. When the plaintiff obtained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judgment on 23 July 1973, the Act had already been repealed, and since the repealing Traffic and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Road Safety Act 1970 does not contain any saving clause, the plaintiff could not sue the defendant.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Kateera was referred to s. 15 (1) of the Interpretation Act (Cap. 16), but submitted its provisions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not help the plaintiff as his right to sue accrued only after the Act had already been repealed. I do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think so. S. 15 (1) of the Interpretation Act reads in part as follows: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Where any Act of Parliament repeals any other enactment, the repeal shall not–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. . . . . . .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a ffect the previous operation of any enactment so repealed or anything duly done or suffered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any enactment so repealed; or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 ffect any right, privilege, obligation or liability acquired, accrued or incurred under any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enactment so repealed; or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. . . . . . . .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 ffect any investigation, legal proceeding or remedy in respect of any such right, privilege,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obligation, liability, penalty, forfeiture or punishment, and any such investigation, legal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 or remedy may be instituted, continued or enforced, and any such penalty, forfeiture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punishment may be imposed, as if the repealing Act had not been passed.”</w:t>
      </w:r>
      <w:r w:rsidR="00A8395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When the accident took place the defendant incurred an obligation to the plaintiff, and the plaintiff had a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to his remedy in respect of the obligation so incurred, and was entitled to enforce such remedy. It is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true that one of the conditions of the obligation of the defendant was that there must be a judgment, see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Vol. 22, para. 769, Halsbury’s Laws of England, 3rd Edn. When the plaintiff obtained the judgment after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was repealed, the plaintiff had satisfied that condition. His right to enforce his remedy in respect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obligation already incurred by the defendant was not affected. I think therefore that the trial judge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entitled to rely on the provisions of ss. 104 and 102 of the Act in coming to his decision.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now deal with Mr. Kateera’s second submission. He stated that the plaintiff was not covered by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policy. He submitted that the plaintiff was not a third party and was not a passenger required to be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covered in terms of Proviso (ii) to s. 99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Act as at the material time he was not in a “vehicle in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passengers are carried for hire or reward”. He also submitted that in the policy it was provided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expressly that passengers who were not carried in the course of a contract of employment were excluded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cover. In my view the only real issue which arises for decision is whether the plaintiff, at the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 time, was or was not “in a vehicle in which passengers are carried for hire or reward”. If he was,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succeeds, as in that case the provisions of s. 102 of the Act can be invoked to render void any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disabling conditions; if not, he fails. I believe that the plaintiff was a third party, as a passenger is a third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party; the question was whether he was a third party who required to be covered in terms of the Act.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 have pointed out earlier, the phrase “in a vehicle in which passengers are carried for hire or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reward” was the subject of judicial consideration in </w:t>
      </w:r>
      <w:r>
        <w:rPr>
          <w:rFonts w:ascii="Times New Roman" w:hAnsi="Times New Roman" w:cs="Times New Roman"/>
          <w:i/>
          <w:iCs/>
          <w:color w:val="000000"/>
        </w:rPr>
        <w:t xml:space="preserve">Albert v. Motor Insurers’ Bureau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There was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divergence of opinion in the House of Lords; one view was that such a vehicle should be habitually or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normally carrying passengers for money or money’s worth, another was that such carriage need not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necessarily be habitual or normal, and yet a third was that the use of the vehicle even on one isolated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occasion for that purpose would suffice. In the majority view the real test was whether the carriage of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passengers was predominantly a “business or commercial” arrangement or a “social or gratuitous” one.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Each case would depend on its own facts and contemporary circumstances. With respect I would adopt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test as correct.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However, in my opinion, the plaintiff’s case can be distinguished from that of the </w:t>
      </w:r>
      <w:r>
        <w:rPr>
          <w:rFonts w:ascii="Times New Roman" w:hAnsi="Times New Roman" w:cs="Times New Roman"/>
          <w:i/>
          <w:iCs/>
          <w:color w:val="000000"/>
        </w:rPr>
        <w:t xml:space="preserve">Albert </w:t>
      </w:r>
      <w:r>
        <w:rPr>
          <w:rFonts w:ascii="Times New Roman" w:hAnsi="Times New Roman" w:cs="Times New Roman"/>
          <w:color w:val="000000"/>
        </w:rPr>
        <w:t>case on the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facts. In the </w:t>
      </w:r>
      <w:r>
        <w:rPr>
          <w:rFonts w:ascii="Times New Roman" w:hAnsi="Times New Roman" w:cs="Times New Roman"/>
          <w:i/>
          <w:iCs/>
          <w:color w:val="000000"/>
        </w:rPr>
        <w:t xml:space="preserve">Albert </w:t>
      </w:r>
      <w:r>
        <w:rPr>
          <w:rFonts w:ascii="Times New Roman" w:hAnsi="Times New Roman" w:cs="Times New Roman"/>
          <w:color w:val="000000"/>
        </w:rPr>
        <w:t>case, the car was a private one; the owner used to carry his co-workers to the docks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they worked. He was paid a certain sum of money for the journey by some, none by some, and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sometimes rewarded by a beer or some cigarettes by some passengers. It was held in that case that the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owner was at the material time carrying passengers in his car for hire or reward. In the plaintiff’s case the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pick-up was a commercial vehicle and was actually hired out to the plaintiff for the carriage of goods,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as a pick-up it had passenger seats in the driving cab. The plaintiff was being carried “pursuant to the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between him and the insured”. In any event, since the vehicle was hired out to transport goods, it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perhaps implicit that the owner of the goods or his agent would probably accompany such goods.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transaction was clearly a business or commercial arrangement, not a social or gratuitous one.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Adopting the test propounded by the majority opinion in the </w:t>
      </w:r>
      <w:r>
        <w:rPr>
          <w:rFonts w:ascii="Times New Roman" w:hAnsi="Times New Roman" w:cs="Times New Roman"/>
          <w:i/>
          <w:iCs/>
          <w:color w:val="000000"/>
        </w:rPr>
        <w:t xml:space="preserve">Albert </w:t>
      </w:r>
      <w:r>
        <w:rPr>
          <w:rFonts w:ascii="Times New Roman" w:hAnsi="Times New Roman" w:cs="Times New Roman"/>
          <w:color w:val="000000"/>
        </w:rPr>
        <w:t>case, I am of the view that the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pick-up was “a vehicle in which passengers are carried for hire or reward”, and risk to passengers in it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to be covered in terms of the Act.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think that the trial judge came to the right conclusion. I would dismiss the appeal with costs.</w:t>
      </w:r>
      <w:r w:rsidR="00A83952">
        <w:rPr>
          <w:rFonts w:ascii="Times New Roman" w:hAnsi="Times New Roman" w:cs="Times New Roman"/>
          <w:color w:val="000000"/>
        </w:rPr>
        <w:t xml:space="preserve"> </w:t>
      </w:r>
    </w:p>
    <w:p w:rsidR="00A83952" w:rsidRDefault="00A83952" w:rsidP="00A839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83952" w:rsidRDefault="002D472E" w:rsidP="00A839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Sir William Duffus P: </w:t>
      </w:r>
      <w:r>
        <w:rPr>
          <w:rFonts w:ascii="Times New Roman" w:hAnsi="Times New Roman" w:cs="Times New Roman"/>
          <w:color w:val="000000"/>
        </w:rPr>
        <w:t>I agree with the judgment of Mustafa, J. A. and as Law, Ag. V.-P. also agrees,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is dismissed with costs.</w:t>
      </w:r>
      <w:r w:rsidR="00A83952">
        <w:rPr>
          <w:rFonts w:ascii="Times New Roman" w:hAnsi="Times New Roman" w:cs="Times New Roman"/>
          <w:color w:val="000000"/>
        </w:rPr>
        <w:t xml:space="preserve"> </w:t>
      </w:r>
    </w:p>
    <w:p w:rsidR="002D472E" w:rsidRDefault="002D472E" w:rsidP="00A839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>I have read in draft the judgment prepared by Mustafa, J. A. I agree with it, and concur in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order proposed therein.</w:t>
      </w:r>
      <w:r w:rsidR="00A839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Appeal dismissed.</w:t>
      </w:r>
    </w:p>
    <w:p w:rsidR="002D472E" w:rsidRDefault="002D472E" w:rsidP="002D4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2D472E" w:rsidRDefault="002D472E" w:rsidP="002D4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 Kateera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Hunter &amp; Greig</w:t>
      </w:r>
      <w:r>
        <w:rPr>
          <w:rFonts w:ascii="Times New Roman" w:hAnsi="Times New Roman" w:cs="Times New Roman"/>
          <w:color w:val="000000"/>
        </w:rPr>
        <w:t>, Kampala)</w:t>
      </w:r>
    </w:p>
    <w:p w:rsidR="006B48C8" w:rsidRDefault="002D472E" w:rsidP="002D472E">
      <w:r>
        <w:rPr>
          <w:rFonts w:ascii="Times New Roman" w:hAnsi="Times New Roman" w:cs="Times New Roman"/>
          <w:color w:val="000000"/>
        </w:rPr>
        <w:t>For the respondent: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2E"/>
    <w:rsid w:val="002D472E"/>
    <w:rsid w:val="006B48C8"/>
    <w:rsid w:val="00A8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DE2A-4D2F-4FFE-ADF8-BE7D6DA3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1885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2018-07-05T13:39:00Z</dcterms:created>
  <dcterms:modified xsi:type="dcterms:W3CDTF">2018-07-13T18:15:00Z</dcterms:modified>
</cp:coreProperties>
</file>