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811" w:rsidRDefault="002C1811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Pollok House Ltd v Nairobi Wholesalers Ltd</w:t>
      </w:r>
    </w:p>
    <w:p w:rsidR="002C1811" w:rsidRDefault="002C1811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2C1811" w:rsidRDefault="002C1811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24 April 1974</w:t>
      </w:r>
    </w:p>
    <w:p w:rsidR="002C1811" w:rsidRDefault="002C1811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48/1973 (55/74)</w:t>
      </w:r>
    </w:p>
    <w:p w:rsidR="002C1811" w:rsidRDefault="002C1811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William Duffus P, Law Ag V-P and Mustafa JA</w:t>
      </w:r>
    </w:p>
    <w:p w:rsidR="002C1811" w:rsidRDefault="002C1811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2C1811" w:rsidRDefault="002C1811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2C1811" w:rsidRDefault="002C1811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Nyarangi, J</w:t>
      </w:r>
    </w:p>
    <w:p w:rsidR="002C1811" w:rsidRDefault="002C1811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Decree, from – Decree itself not appealable but altered by judge after delivery – Appeal</w:t>
      </w:r>
    </w:p>
    <w:p w:rsidR="002C1811" w:rsidRDefault="002C1811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incompetent.</w:t>
      </w:r>
    </w:p>
    <w:p w:rsidR="002C1811" w:rsidRDefault="00B66EEA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66EEA" w:rsidRDefault="002C1811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B66EEA" w:rsidRDefault="002C1811" w:rsidP="00B66E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The appellant (whom I will call the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landlord) had served notice on the respondent (whom I will call the tenant) to alter the terms of a tenancy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entered into between them by an increase in rent. The landlord served two notices, one for part of the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premises occupied by the tenant was dated 27 August 1969 and another, for the whole of the premises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occupied by the tenant, was dated 28 November 1969. The first notice would have become effective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provisions of the Landlord and Tenant (Shops, Hotels and Catering Establishments) Act, (Cap.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301), (hereinafter called the Act) on 28 October 1969, and the second notice on 31 January 1970. The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tenant, however, opposed the notices, and duly notified the landlord and filed two separate references to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set up under the Act, and thereby suspended the effects of the notices to alter the terms of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tenancy. The Tribunal consolidated both the references at the hearing, and in its judgment increased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rent for the premises, and held that the date for the payment of such increased rent was 1 January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1971.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landlord appealed to the High Court against the Tribunal’s finding, on the ground that the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 had no discretion to fix a date for the payment of the increased rent other than the date when the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to vary the terms of tenancy expired, or if it had, then it had exercised such discretion improperly.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hearing of the appeal counsel for both the parties had agreed that if the landlord’s appeal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succeeded, then the effective date for the payment of the increased rent would be 31 January 1970 (the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 of expiry of the second notice). The High Court rejected the landlord’s submissions, holding that the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 had acted properly in awarding increased rent and in ordering that such increased rent would be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payable as from 1 January 1971. If the judge had stopped there, there probably would have been no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trouble. However, he went on to state: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second notice expired on 31.1.70. The increase should apply from that date, Counsel were agreed on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this.”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towards the end of his judgment he stated: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increase in rent shall apply from the date the second notice expired, i.e. 31.1.70. To that limited extent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appeal succeeds. Otherwise the appeal is dismissed.”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When the draft decree was being settled, this dichotomy could not be resolved and both counsel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informally approached the judge on this matter. It seemed that the judge had misunderstood the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between counsel. They had agreed that the date for the payment of the increased rent would be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31 January 1970 only in the event that the landlord’s appeal was successful. The judge apparently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thought that the agreed date for the increased rent to take effect was 31 January 1970 in any event. The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then gave a ruling on 6 July 1973, some 5 1/2 months after his judgment.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it he said,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,: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“This Court was moved I think in pursuance of s. 99 of the Civil Procedure Act to correct an alleged error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concerning a date. . . . I am satisfied having considered the record, the judgment and the comments of counsel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this matter was last mentioned that the correct date is 1.1.71 and not 31.1.70”.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in short corrected his judgment by this ruling, substituting the date 1 January 1971 for 31 January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1970.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this ruling the landlord has appealed.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tenant has taken a preliminary objection and has submitted that the appeal is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incompetent and does not lie.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15 (4) of the Act reads: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procedure in and relating to appeals in Civil matters from subordinate courts to the High Court shall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govern appeals under this Act: Provided that the decision of the High Court on any appeal under this Act shall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final and shall not be subject to further appeal.”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landlord conceded that this provision preludes him from appealing against the judgment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decree of the High Court. He however submitted that the ruling given on 6 July 1973 was separate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distinct from the judgment delivered on 23 January 1973, that the ruling arose out of proceedings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initiated under s. 99 of the Civil Procedure Act, and did not form part of the Tribunal’s proceedings, and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in effect a second decree </w:t>
      </w:r>
      <w:r>
        <w:rPr>
          <w:rFonts w:ascii="Times New Roman" w:hAnsi="Times New Roman" w:cs="Times New Roman"/>
          <w:color w:val="000000"/>
        </w:rPr>
        <w:lastRenderedPageBreak/>
        <w:t>or a new judgment. He referred to the provisions of s. 72 (1)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Civil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Act which read: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“72 (1) Save where otherwise expressly provided in the body of this Act or by any other law for the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being in force an appeal shall lie to the Court of Appeal from every decree passed in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by the High Court, on any of the following grounds namely.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 . . . . . .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 substantial error or defect in the procedure provided by this Act or by any other law for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time being in force, which may possibly have produced error or defect in the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 of the case upon the merits.”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submitted that in amending the judgment in the way he did the judge had clearly committed a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“substantial error” and in terms of s. 72 he was entitled to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He also relied on s. 79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Civil Procedure Act as giving him a right of appeal.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reads: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“79. The provisions of this Part relating to appeals from original decrees shall, as far as may be, apply to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appeals–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 . . . . . . .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f rom orders made under this Act or under any special or local law in which a different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procedure is not provided.”</w:t>
      </w:r>
      <w:r w:rsidR="00B66E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am not in the present proceedings concerned with the propriety or otherwise of the judge in amending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judgment in the way he did. I will confine myself to the issue whether an appeal by the landlord lies. I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 of the view that the ruling made on 6 July 1973 arose out of the judgment emanating from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under the Act, and would be part of the decision of the High Court on an appeal under the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Act. That ruling did not arise out of proceedings under the Civil Procedure Act as a separate and distinct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matter, as no proceedings were commenced or instituted in any prescribed form or under the procedure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by the Civil Procedure Act. The ruling was an extension of the judgment, as it purported to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 it. That being so, the ruling is not appealable in terms of s. 15 (4) of the Act. Since I have held that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ruling is a part of the “decision” of the High Court on an appeal under the Act, it does not matter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it is to be treated as a decree or an order, and I will therefore refrain from dealing with this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 aspect which was so extensively argued before the Court, nor with the authorities cited in that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connection.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see the relevance of s. 79 of the Civil Procedure Act in this matter; that section only provides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procedure relating to appeals from original decrees shall also apply to appeals from appellate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decrees or orders.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view the appeal is incompetent and does not lie. I would strike out the appeal with costs.</w:t>
      </w:r>
      <w:r w:rsidR="00B66EEA">
        <w:rPr>
          <w:rFonts w:ascii="Times New Roman" w:hAnsi="Times New Roman" w:cs="Times New Roman"/>
          <w:color w:val="000000"/>
        </w:rPr>
        <w:t xml:space="preserve"> </w:t>
      </w:r>
    </w:p>
    <w:p w:rsidR="00B66EEA" w:rsidRDefault="00B66EEA" w:rsidP="00B66E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6EEA" w:rsidRDefault="002C1811" w:rsidP="00B66E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Law Ag VP: </w:t>
      </w:r>
      <w:r>
        <w:rPr>
          <w:rFonts w:ascii="Times New Roman" w:hAnsi="Times New Roman" w:cs="Times New Roman"/>
          <w:color w:val="000000"/>
        </w:rPr>
        <w:t>I agree with the judgment prepared by Mustafa, J. A. This is in effect an appeal against a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of the High Court on an appeal from the decision of a Tribunal set up under the provisions of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Landlord and Tenant (Shops, Hotels and Catering Establishments) Act, and by s. 15 (4) of that Act,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further appeal lies. This appeal is accordingly incompetent, and must be struck out.</w:t>
      </w:r>
      <w:r w:rsidR="00B66EEA">
        <w:rPr>
          <w:rFonts w:ascii="Times New Roman" w:hAnsi="Times New Roman" w:cs="Times New Roman"/>
          <w:color w:val="000000"/>
        </w:rPr>
        <w:t xml:space="preserve"> </w:t>
      </w:r>
    </w:p>
    <w:p w:rsidR="00B66EEA" w:rsidRDefault="00B66EEA" w:rsidP="00B66E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C1811" w:rsidRDefault="002C1811" w:rsidP="00B66E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Sir William Duffus P: </w:t>
      </w:r>
      <w:r>
        <w:rPr>
          <w:rFonts w:ascii="Times New Roman" w:hAnsi="Times New Roman" w:cs="Times New Roman"/>
          <w:color w:val="000000"/>
        </w:rPr>
        <w:t>I agree with the judgment of Mustafa, J. A. and as Law, Ag. V.-P. also agrees,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is struck out with costs.</w:t>
      </w:r>
      <w:r w:rsidR="00B66E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2C1811" w:rsidRDefault="002C1811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2C1811" w:rsidRDefault="002C1811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PJ Ransley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Archer &amp; Wilcock</w:t>
      </w:r>
      <w:r>
        <w:rPr>
          <w:rFonts w:ascii="Times New Roman" w:hAnsi="Times New Roman" w:cs="Times New Roman"/>
          <w:color w:val="000000"/>
        </w:rPr>
        <w:t>, Nairobi)</w:t>
      </w:r>
    </w:p>
    <w:p w:rsidR="002C1811" w:rsidRDefault="002C1811" w:rsidP="002C1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B48C8" w:rsidRDefault="002C1811" w:rsidP="002C1811">
      <w:r>
        <w:rPr>
          <w:rFonts w:ascii="Times New Roman" w:hAnsi="Times New Roman" w:cs="Times New Roman"/>
          <w:i/>
          <w:iCs/>
          <w:color w:val="000000"/>
        </w:rPr>
        <w:t xml:space="preserve">M da Gama Rose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Shapley Barret &amp; Co</w:t>
      </w:r>
      <w:r>
        <w:rPr>
          <w:rFonts w:ascii="Times New Roman" w:hAnsi="Times New Roman" w:cs="Times New Roman"/>
          <w:color w:val="000000"/>
        </w:rPr>
        <w:t>, Nairobi)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11"/>
    <w:rsid w:val="002C1811"/>
    <w:rsid w:val="006B48C8"/>
    <w:rsid w:val="00B6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BFCF1-5FE7-4562-9E97-4DE09F9E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2018-07-05T13:37:00Z</dcterms:created>
  <dcterms:modified xsi:type="dcterms:W3CDTF">2018-07-13T18:17:00Z</dcterms:modified>
</cp:coreProperties>
</file>