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Raytheon Aircraft Credit Corporation and another v Air Al-Faraj Limited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July 2005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29/99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Tunoi, Githinji and Onyango-Otieno JJA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Jurisdiction – Choice of law and exclusive jurisdiction clauses – Whether the High Court of Kenya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can assume jurisdiction by virtue of section 60 of the Constitution – Procedure of objecting to court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jurisdiction in Kenya.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D7D63" w:rsidRDefault="0050241F" w:rsidP="00AD7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lease purchase agreement dated 2 December 1997, the first appellant, a company incorporated under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laws of Kansas in the United States of America, leased to the respondent, a company duly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 in Kenya under the provisions of the Companies Act, an aircraft under the terms and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provided in the agreement. The respondent took possession of the aircraft in January 1998. On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about 19 June 1998 the second appellant, purporting to be acting on behalf of the first appellant and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informing the respondent and without due authority and legal cause flew the said aircraft out of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of Kenya to South Africa. The respondent, therefore, filed suit against the appellants. The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filed a defence in which they blamed the respondent for breach of the terms of the lease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 Alongside the plaint, the respondent filed an application by way of chamber summons under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an order was granted restraining the appellants jointly and severally from deregistering from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Register, the subject aircraft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 xml:space="preserve">). When the application came for </w:t>
      </w:r>
      <w:r>
        <w:rPr>
          <w:rFonts w:ascii="Times New Roman" w:hAnsi="Times New Roman" w:cs="Times New Roman"/>
          <w:i/>
          <w:iCs/>
          <w:color w:val="000000"/>
        </w:rPr>
        <w:t xml:space="preserve">inter partes </w:t>
      </w:r>
      <w:r>
        <w:rPr>
          <w:rFonts w:ascii="Times New Roman" w:hAnsi="Times New Roman" w:cs="Times New Roman"/>
          <w:color w:val="000000"/>
        </w:rPr>
        <w:t>hearing, the basic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opposition raised by the appellants was that the court had no jurisdiction with respect to the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matters, the subject of the application and suit since the agreement had a clause providing that it shall be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governed by and construed in accordance with the law of the state of Kansas.</w:t>
      </w:r>
      <w:r w:rsidR="00AD7D63">
        <w:rPr>
          <w:rFonts w:ascii="Times New Roman" w:hAnsi="Times New Roman" w:cs="Times New Roman"/>
          <w:color w:val="000000"/>
        </w:rPr>
        <w:t xml:space="preserve"> </w:t>
      </w:r>
    </w:p>
    <w:p w:rsidR="00AD7D63" w:rsidRDefault="00AD7D63" w:rsidP="00AD7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0241F" w:rsidRDefault="0050241F" w:rsidP="00AD7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Section 60(1) of the Constitution of the Republic of Kenya does not authorise the High Court to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disregard private international law on the status of the choice of law and exclusive jurisdiction clauses in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commercial agreements and assume jurisdiction over persons outside Kenya.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assumes jurisdiction over persons outside Kenya by giving leave on application by a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plaintiff, to serve summons or notice of summons, as the case may be, outside the country under Order V,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23 and after such summons are served in accordance with the machinery stipulated therein.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High Court assumes jurisdiction over a foreign defendant by granting leave to serve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or notice of summons outside Kenya, the foreign defendant is entitled to challenge the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High Court.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parties have bound themselves by an exclusive jurisdiction clause, effect should ordinarily be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to that obligation unless the party suing in the non contractual forum discharges the burden cast on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by showing strong reasons for suing in that forum – </w:t>
      </w:r>
      <w:r>
        <w:rPr>
          <w:rFonts w:ascii="Times New Roman" w:hAnsi="Times New Roman" w:cs="Times New Roman"/>
          <w:i/>
          <w:iCs/>
          <w:color w:val="000000"/>
        </w:rPr>
        <w:t xml:space="preserve">Donohue v Armo INC </w:t>
      </w:r>
      <w:r>
        <w:rPr>
          <w:rFonts w:ascii="Times New Roman" w:hAnsi="Times New Roman" w:cs="Times New Roman"/>
          <w:color w:val="000000"/>
        </w:rPr>
        <w:t xml:space="preserve">[2002] 4 LRC 478, </w:t>
      </w:r>
      <w:r>
        <w:rPr>
          <w:rFonts w:ascii="Times New Roman" w:hAnsi="Times New Roman" w:cs="Times New Roman"/>
          <w:i/>
          <w:iCs/>
          <w:color w:val="000000"/>
        </w:rPr>
        <w:t>The</w:t>
      </w:r>
      <w:r w:rsidR="00AD7D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Eleptheria </w:t>
      </w:r>
      <w:r>
        <w:rPr>
          <w:rFonts w:ascii="Times New Roman" w:hAnsi="Times New Roman" w:cs="Times New Roman"/>
          <w:color w:val="000000"/>
        </w:rPr>
        <w:t xml:space="preserve">[1969] 2 All ER 641 and </w:t>
      </w:r>
      <w:r>
        <w:rPr>
          <w:rFonts w:ascii="Times New Roman" w:hAnsi="Times New Roman" w:cs="Times New Roman"/>
          <w:i/>
          <w:iCs/>
          <w:color w:val="000000"/>
        </w:rPr>
        <w:t xml:space="preserve">United India Insurance Co Ltd v East African Underwriters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>
        <w:rPr>
          <w:rFonts w:ascii="Times New Roman" w:hAnsi="Times New Roman" w:cs="Times New Roman"/>
          <w:color w:val="000000"/>
        </w:rPr>
        <w:t>)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[1985] KLR 898 followed.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no rules of the court prescribing the procedure for challenging the jurisdiction of the High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by a foreign defendant, who has been sued in this country in breach of contractual forum selection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exclusive jurisdiction clause. The procedure used, is to enter a conditional appearance and then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move the court for setting aside the process. Other accepted procedures are to enter appearance under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protest and move the High Court for orders to stay proceedings, or, to file a defence under protest, file an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or proceedings or striking out of proceedings and raising a preliminary objection to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before trial – </w:t>
      </w:r>
      <w:r>
        <w:rPr>
          <w:rFonts w:ascii="Times New Roman" w:hAnsi="Times New Roman" w:cs="Times New Roman"/>
          <w:i/>
          <w:iCs/>
          <w:color w:val="000000"/>
        </w:rPr>
        <w:t xml:space="preserve">Prabhadas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and Co v Standard Bank </w:t>
      </w:r>
      <w:r>
        <w:rPr>
          <w:rFonts w:ascii="Times New Roman" w:hAnsi="Times New Roman" w:cs="Times New Roman"/>
          <w:color w:val="000000"/>
        </w:rPr>
        <w:t xml:space="preserve">[1968] EA 679, </w:t>
      </w:r>
      <w:r>
        <w:rPr>
          <w:rFonts w:ascii="Times New Roman" w:hAnsi="Times New Roman" w:cs="Times New Roman"/>
          <w:i/>
          <w:iCs/>
          <w:color w:val="000000"/>
        </w:rPr>
        <w:t>United India Insurance Co</w:t>
      </w:r>
      <w:r w:rsidR="00AD7D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Ltd v East African Underwriters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] Ltd </w:t>
      </w:r>
      <w:r>
        <w:rPr>
          <w:rFonts w:ascii="Times New Roman" w:hAnsi="Times New Roman" w:cs="Times New Roman"/>
          <w:color w:val="000000"/>
        </w:rPr>
        <w:t xml:space="preserve">[1985] KLR 898, </w:t>
      </w:r>
      <w:r>
        <w:rPr>
          <w:rFonts w:ascii="Times New Roman" w:hAnsi="Times New Roman" w:cs="Times New Roman"/>
          <w:i/>
          <w:iCs/>
          <w:color w:val="000000"/>
        </w:rPr>
        <w:t xml:space="preserve">Fonville v Kelly III and others </w:t>
      </w:r>
      <w:r>
        <w:rPr>
          <w:rFonts w:ascii="Times New Roman" w:hAnsi="Times New Roman" w:cs="Times New Roman"/>
          <w:color w:val="000000"/>
        </w:rPr>
        <w:t>[2002] 1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71 approved.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Obiter – the rules committee should promulgate appropriate comprehensive rules of procedure to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facilitate litigation in this area.</w:t>
      </w:r>
      <w:r w:rsidR="00AD7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</w:p>
    <w:p w:rsidR="00AD7D63" w:rsidRDefault="00AD7D63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Fonville v Kelly III and others </w:t>
      </w:r>
      <w:r>
        <w:rPr>
          <w:rFonts w:ascii="Times New Roman" w:hAnsi="Times New Roman" w:cs="Times New Roman"/>
          <w:color w:val="000000"/>
        </w:rPr>
        <w:t xml:space="preserve">[2002] 1 EA 71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Karachi Gas Company Ltd v Issaq </w:t>
      </w:r>
      <w:r>
        <w:rPr>
          <w:rFonts w:ascii="Times New Roman" w:hAnsi="Times New Roman" w:cs="Times New Roman"/>
          <w:color w:val="000000"/>
        </w:rPr>
        <w:t>[1965] EA 42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Pattni v Ali and others </w:t>
      </w:r>
      <w:r>
        <w:rPr>
          <w:rFonts w:ascii="Times New Roman" w:hAnsi="Times New Roman" w:cs="Times New Roman"/>
          <w:color w:val="000000"/>
        </w:rPr>
        <w:t>High Court Civil case number 418 of 1998, (UR)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Prabhadas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and Company v Standard Bank </w:t>
      </w:r>
      <w:r>
        <w:rPr>
          <w:rFonts w:ascii="Times New Roman" w:hAnsi="Times New Roman" w:cs="Times New Roman"/>
          <w:color w:val="000000"/>
        </w:rPr>
        <w:t xml:space="preserve">[1968] EA 679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United India Insurance Company Ltd v East African Underwriters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 xml:space="preserve">[1985] KLR 898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50241F" w:rsidRDefault="0050241F" w:rsidP="0050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Donohue v Armo Inc </w:t>
      </w:r>
      <w:r>
        <w:rPr>
          <w:rFonts w:ascii="Times New Roman" w:hAnsi="Times New Roman" w:cs="Times New Roman"/>
          <w:color w:val="000000"/>
        </w:rPr>
        <w:t xml:space="preserve">[2002] 4 LRC 478, HL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66D10" w:rsidRDefault="0050241F" w:rsidP="0050241F">
      <w:r>
        <w:rPr>
          <w:rFonts w:ascii="Times New Roman" w:hAnsi="Times New Roman" w:cs="Times New Roman"/>
          <w:i/>
          <w:iCs/>
          <w:color w:val="000000"/>
        </w:rPr>
        <w:t>The Eleptheria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1F"/>
    <w:rsid w:val="00366D10"/>
    <w:rsid w:val="0050241F"/>
    <w:rsid w:val="00A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B9C61-7D20-4F61-B544-F319BA58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2018-07-04T20:05:00Z</dcterms:created>
  <dcterms:modified xsi:type="dcterms:W3CDTF">2018-07-13T18:26:00Z</dcterms:modified>
</cp:coreProperties>
</file>