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Raytheon Aircraft Credit Corporation and another v Air Al-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Faraj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Limited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July 2005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29/99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Jurisdiction – Choice of law and exclusive jurisdiction clauses – Whether the High Court of Kenya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can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assume jurisdiction by virtue of section 60 of the Constitution – Procedure of objecting to court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jurisdiction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Kenya.</w:t>
      </w:r>
    </w:p>
    <w:p w:rsidR="006D2179" w:rsidRDefault="00A45A6E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45A6E" w:rsidRDefault="006D2179" w:rsidP="00A45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</w:t>
      </w:r>
      <w:r>
        <w:rPr>
          <w:rFonts w:ascii="Times New Roman" w:hAnsi="Times New Roman" w:cs="Times New Roman"/>
          <w:color w:val="000000"/>
        </w:rPr>
        <w:t>: The facts giving rise to this appeal are simple and not largely in dispute. They may briefly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stated as follows. By a lease purchase agreement dated 2 December 1997, the first appellant, Raytheon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Aircraft Credit </w:t>
      </w:r>
      <w:proofErr w:type="gramStart"/>
      <w:r>
        <w:rPr>
          <w:rFonts w:ascii="Times New Roman" w:hAnsi="Times New Roman" w:cs="Times New Roman"/>
          <w:color w:val="000000"/>
        </w:rPr>
        <w:t>Corporation(</w:t>
      </w:r>
      <w:proofErr w:type="gramEnd"/>
      <w:r>
        <w:rPr>
          <w:rFonts w:ascii="Times New Roman" w:hAnsi="Times New Roman" w:cs="Times New Roman"/>
          <w:color w:val="000000"/>
        </w:rPr>
        <w:t>Raytheon), a company incorporated under the Laws of Kansas, United States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America, leased to the respondent, Air Al-</w:t>
      </w:r>
      <w:proofErr w:type="spellStart"/>
      <w:r>
        <w:rPr>
          <w:rFonts w:ascii="Times New Roman" w:hAnsi="Times New Roman" w:cs="Times New Roman"/>
          <w:color w:val="000000"/>
        </w:rPr>
        <w:t>Faraj</w:t>
      </w:r>
      <w:proofErr w:type="spellEnd"/>
      <w:r>
        <w:rPr>
          <w:rFonts w:ascii="Times New Roman" w:hAnsi="Times New Roman" w:cs="Times New Roman"/>
          <w:color w:val="000000"/>
        </w:rPr>
        <w:t xml:space="preserve"> Limited, a company duly incorporated in Kenya under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the Companies Act Chapter 486 Laws of Kenya, an aircraft (Model Beechcraft 1900</w:t>
      </w:r>
      <w:r>
        <w:rPr>
          <w:rFonts w:ascii="Times New Roman" w:hAnsi="Times New Roman" w:cs="Times New Roman"/>
          <w:color w:val="000000"/>
          <w:sz w:val="16"/>
          <w:szCs w:val="16"/>
        </w:rPr>
        <w:t>0</w:t>
      </w:r>
      <w:r w:rsidR="00A45A6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</w:rPr>
        <w:t>serial number UC-144) Kenyan Registration Number 5Y BND, under the terms and conditions provided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therein.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then took possession of the said aircraft in January 1998. It is pleaded that on or about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 June 1998 the second appellant purporting to act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behalf of the first appellant and without informing the respondent and without due authority and legal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flew the said aircraft out of the jurisdiction of this Court and took it to South Africa.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respondent’s case that it fulfilled and observed all the covenants of the contract and was not in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 of any term of the lease agreement. It is averred that the appellants were in breach of the lease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agreement and claimed against them its rights to operate and have possession of the aircraft.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prayers sought in the plaint are:</w:t>
      </w:r>
      <w:r w:rsidR="00A45A6E">
        <w:rPr>
          <w:rFonts w:ascii="Times New Roman" w:hAnsi="Times New Roman" w:cs="Times New Roman"/>
          <w:color w:val="000000"/>
        </w:rPr>
        <w:t xml:space="preserve"> </w:t>
      </w:r>
    </w:p>
    <w:p w:rsidR="006D2179" w:rsidRDefault="006D2179" w:rsidP="00A45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A mandatory injunction compelling the defendants to return the aircraft to the jurisdiction of the court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to the lawful custody and possession of the plaintiff.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A permanent injunction restraining the defendants their agents, servants from selling, disposing of,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charging, leasing, deregistering or in any way interfering with the plaintiff’s right over the aircraft.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A declaration that the defendants in allegedly repossessing the aircraft were not entitled to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repossession in law.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they have instead blamed the respondent for breach of the terms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lease agreement.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Alongside the plaint, the respondent filed an application by way of chamber summons under which an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was granted restraining the appellants jointly and severally from deregistering from Kenya Register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Aircraft the subject matter of the suit. The application was then listed for hearing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and the basic ground of opposition raised by the appellants was that that court had no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with respect to the matters, the subject of the application and suit. The appellants, in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canvassing their preliminary objection, grounded their submissions on clause 15:1 of the lease purchase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which provides: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“15:1 L aw and Jurisdiction: This agreement shall be governed by and construed in accordance with the law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State of Kansas in relation to any dispute arising out of or in connection with this agreement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lessee hereby, irrevocably and unconditionally, agrees that all legal proceedings in connection with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agreement shall be brought in the United States District Court for the District of Kansa located in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Wichita, Kansas, or in the Eighteenth Judicial District Court of Sedgwick County, Kansas and lessee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waives all right to a trial by jury provided however, that lessor shall have the option, in its sole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exclusive discretion, in addition to the two courts mentioned above, to institute legal proceedings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lessee for repossession of the aircraft in any jurisdiction where the aircraft may be located from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to time, or against lessee for recovery of monies due to lessor from lessee, in any jurisdiction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lessee maintains, temporarily or permanently, any assets. The parties hereby consent and agree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subject to the jurisdiction of all the aforesaid courts and, to the greatest extent permitted by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applicable law, the parties hereby waive any right to seek to avoid the jurisdiction of the above courts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basis of the doctrine of f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orum non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conveniens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color w:val="000000"/>
        </w:rPr>
        <w:t>, then acting for the appellants in the superior court, submitted that the lease purchase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 having been executed by both the respondent and the first appellant it followed that </w:t>
      </w:r>
      <w:r>
        <w:rPr>
          <w:rFonts w:ascii="Times New Roman" w:hAnsi="Times New Roman" w:cs="Times New Roman"/>
          <w:i/>
          <w:iCs/>
          <w:color w:val="000000"/>
        </w:rPr>
        <w:t>prima</w:t>
      </w:r>
      <w:r w:rsidR="00A45A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facie</w:t>
      </w:r>
      <w:r>
        <w:rPr>
          <w:rFonts w:ascii="Times New Roman" w:hAnsi="Times New Roman" w:cs="Times New Roman"/>
          <w:color w:val="000000"/>
        </w:rPr>
        <w:t xml:space="preserve">, the above clause,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is binding on the parties. He further contended that the respondent,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waived all rights to bring an action in any other jurisdiction, renders the suit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incompetent.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institution of the suit violated the contract between the parties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is an abuse of the process of the court.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countering the preliminary objection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Ahmednasir</w:t>
      </w:r>
      <w:proofErr w:type="spellEnd"/>
      <w:r>
        <w:rPr>
          <w:rFonts w:ascii="Times New Roman" w:hAnsi="Times New Roman" w:cs="Times New Roman"/>
          <w:color w:val="000000"/>
        </w:rPr>
        <w:t>, for the respondent, submitted that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 of the superior court, as conferred by section 60 of the </w:t>
      </w:r>
      <w:r>
        <w:rPr>
          <w:rFonts w:ascii="Times New Roman" w:hAnsi="Times New Roman" w:cs="Times New Roman"/>
          <w:color w:val="000000"/>
        </w:rPr>
        <w:lastRenderedPageBreak/>
        <w:t>Constitution of Kenya, cannot be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by a contract between two parties and even by an act of Parliament. He averred that the contract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one-sided and that the choice of law and forum was forced onto the respondent. He maintained that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arms-length negotiation and there cannot be said to have existed freedom of contract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considering the business position of the first appellant </w:t>
      </w:r>
      <w:r>
        <w:rPr>
          <w:rFonts w:ascii="Times New Roman" w:hAnsi="Times New Roman" w:cs="Times New Roman"/>
          <w:i/>
          <w:iCs/>
          <w:color w:val="000000"/>
        </w:rPr>
        <w:t xml:space="preserve">vis-à-vis </w:t>
      </w:r>
      <w:r>
        <w:rPr>
          <w:rFonts w:ascii="Times New Roman" w:hAnsi="Times New Roman" w:cs="Times New Roman"/>
          <w:color w:val="000000"/>
        </w:rPr>
        <w:t>that of the respondent.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Judge, </w:t>
      </w:r>
      <w:proofErr w:type="spellStart"/>
      <w:r>
        <w:rPr>
          <w:rFonts w:ascii="Times New Roman" w:hAnsi="Times New Roman" w:cs="Times New Roman"/>
          <w:color w:val="000000"/>
        </w:rPr>
        <w:t>j</w:t>
      </w:r>
      <w:proofErr w:type="gramStart"/>
      <w:r>
        <w:rPr>
          <w:rFonts w:ascii="Times New Roman" w:hAnsi="Times New Roman" w:cs="Times New Roman"/>
          <w:color w:val="000000"/>
        </w:rPr>
        <w:t>,in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overruling the preliminary objection raised by the appellants, held: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“Earlier in this ruling I set out in full clause 15:1 of the lease purchase agreement. While the said clause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imposed a total waiver of all rights on the part of the plaintiff as to choice of law and forum, the first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gave itself unlimited jurisdiction thereof. The terms thereof appear with respect to be tinctured with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oppression. There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being preliminary proceedings, I say no more. Suffice it to say that taking into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 the facts herein, the attendant circumstances and above all, the provisions of section 60(1) of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Kenya Constitution, I find and hold that this Court has jurisdiction to hear and determine this suit.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Accordingly, the preliminary objection is hereby dismissed with costs to the plaintiff.”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of appeal before us are directed against the learned Judge’s decision that, firstly; the choice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law and choice of forum clause in the lease agreement between the parties was tinctured with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oppression when there was no evidence on record in support thereof; and secondly, that the original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High Court under section 60 of the Constitution overrides choice of jurisdiction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clauses under all circumstances.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Indeed, the respondent averred in paragraph 11 of the plaint: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being a creation of the Kenyan Constitution which is the supreme law of the land has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absolute jurisdiction to determine the dispute, the provision of the lease agreement notwithstanding.”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Ahmednasir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in the superior court and the learned </w:t>
      </w:r>
      <w:proofErr w:type="spellStart"/>
      <w:r>
        <w:rPr>
          <w:rFonts w:ascii="Times New Roman" w:hAnsi="Times New Roman" w:cs="Times New Roman"/>
          <w:color w:val="000000"/>
        </w:rPr>
        <w:t>Judgej</w:t>
      </w:r>
      <w:proofErr w:type="spellEnd"/>
      <w:r>
        <w:rPr>
          <w:rFonts w:ascii="Times New Roman" w:hAnsi="Times New Roman" w:cs="Times New Roman"/>
          <w:color w:val="000000"/>
        </w:rPr>
        <w:t xml:space="preserve"> agreed with him that section 60(1)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which gives the High Court unlimited jurisdiction in both civil and criminal matters is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peculiar to our jurisdiction and that a written contract between the parties cannot supersede the express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the Constitution. This Court considered that issue of jurisdiction in Civil application number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Nairobi 326 of 1998 </w:t>
      </w:r>
      <w:r>
        <w:rPr>
          <w:rFonts w:ascii="Times New Roman" w:hAnsi="Times New Roman" w:cs="Times New Roman"/>
          <w:i/>
          <w:iCs/>
          <w:color w:val="000000"/>
        </w:rPr>
        <w:t xml:space="preserve">Raytheon Aircraft Credit Corporation and another v Air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Alfaraj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when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 with an application for stay of proceedings in the superior court pending this appeal and said in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part: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learned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Judge’sj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reliance on what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Kuloba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said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Pattni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Ali and others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Civil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number 418 of 1998, (UR) as regards High Court’s jurisdiction as donated by section 60(1) of the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was in our view, out of place and not germane to the issue before him. Convenience of the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plaintiff, alone, in choosing his forum cannot, by itself, oust a jurisdiction and the applicable law clause.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Strong cause must be shown to justify a departure from and applicable law clause, and the onus of showing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strong cause lies on the plaintiff.”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do not, with respect, agree with the construction given by the superior court to section 60(1) of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Constitution. That section does not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the High Court to disregard private international law on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status of the choice of law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exclusive jurisdiction clauses in international commercial agreements and assume jurisdiction over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outside Kenya.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on the jurisdiction of the High Court over foreign defendants in a contractual dispute was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correctly stated by the predecessor of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Karachi Gas Company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Issaq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[1965] EA 42,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case was recently applied by the High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Fonville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Kelly III and others </w:t>
      </w:r>
      <w:r>
        <w:rPr>
          <w:rFonts w:ascii="Times New Roman" w:hAnsi="Times New Roman" w:cs="Times New Roman"/>
          <w:color w:val="000000"/>
        </w:rPr>
        <w:t>[2002] 1 EA 71.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appellant, Raytheon, is a foreign corporation incorporated under the laws of Kansas, USA, and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its registered office in Kansas. It was not trading within the jurisdiction by a subsidiary company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time it was used and it is not domiciled in Kenya. In such a case, the High Court will not assume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in relation to any matter arising from the contract unless the contract is of the nature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specified in Order V, rule 21(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) Civil Procedure Rules, that is,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contract is made in Kenya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if it is governed by the Laws of Kenya or if a breach of contract is committed in Kenya. The High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assumes jurisdiction over persons outside Kenya by giving leave, on application by a plaintiff to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 summons or notice of summons, as the case may be, outside the country under Order V, rule 23 and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such summons are served in accordance with the machinery stipulated therein. In this particular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as the USA is not a Commonwealth country, service on the first appellant, if leave was given, could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have been through diplomatic channel under Order V, rule 27.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does not show, nor is it contended, that the respondent moved the High Court for leave to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 the first appellant outside the jurisdiction and that such leave was given. It follows that at the time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objection to jurisdiction was made, the High Court had not been moved to assume jurisdiction over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Raytheon and had not in fact assumed jurisdiction over Raytheon. Thus, there cannot be any question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Raytheon was not amenable to the jurisdiction of the High Court and the objection to jurisdiction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allowed on this ground alone.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Moreover, even if the High Court assumes jurisdiction over a foreign defendant by granting leave to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 summons or notice of summons outside Kenya, the foreign </w:t>
      </w:r>
      <w:r>
        <w:rPr>
          <w:rFonts w:ascii="Times New Roman" w:hAnsi="Times New Roman" w:cs="Times New Roman"/>
          <w:color w:val="000000"/>
        </w:rPr>
        <w:lastRenderedPageBreak/>
        <w:t>defendant is still entitled, as it happened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to challenge the jurisdiction of the High Court. The first appellant based the objection to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on the choice of law and exclusive jurisdiction clause in the agreement. According to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choice of law and the exclusive jurisdiction clause, the proper law of contract in dispute is the law of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of Kansas. The agreement has named two courts in the State of Kansas which have jurisdiction over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agreement. By the same clause, the parties waived any right to seek to avoid the jurisdiction of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courts on the basis of the doctrine of </w:t>
      </w:r>
      <w:r>
        <w:rPr>
          <w:rFonts w:ascii="Times New Roman" w:hAnsi="Times New Roman" w:cs="Times New Roman"/>
          <w:i/>
          <w:iCs/>
          <w:color w:val="000000"/>
        </w:rPr>
        <w:t xml:space="preserve">forum non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conveniens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general rule is, that, where parties have bound themselves by an exclusive jurisdiction clause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effect should ordinarily be given to that obligation unless the party suing in the </w:t>
      </w:r>
      <w:r w:rsidR="00A45A6E">
        <w:rPr>
          <w:rFonts w:ascii="Times New Roman" w:hAnsi="Times New Roman" w:cs="Times New Roman"/>
          <w:color w:val="000000"/>
        </w:rPr>
        <w:t>non-contractual</w:t>
      </w:r>
      <w:r>
        <w:rPr>
          <w:rFonts w:ascii="Times New Roman" w:hAnsi="Times New Roman" w:cs="Times New Roman"/>
          <w:color w:val="000000"/>
        </w:rPr>
        <w:t xml:space="preserve"> forum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discharges the burden cast on him of showing strong reasons for suing in that forum (</w:t>
      </w:r>
      <w:r>
        <w:rPr>
          <w:rFonts w:ascii="Times New Roman" w:hAnsi="Times New Roman" w:cs="Times New Roman"/>
          <w:i/>
          <w:iCs/>
          <w:color w:val="000000"/>
        </w:rPr>
        <w:t>see Donohue v</w:t>
      </w:r>
      <w:r w:rsidR="00A45A6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[2002] 4 LRC 478, HL;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Eleptheria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[1969] 2 All ER 641, </w:t>
      </w:r>
      <w:r>
        <w:rPr>
          <w:rFonts w:ascii="Times New Roman" w:hAnsi="Times New Roman" w:cs="Times New Roman"/>
          <w:i/>
          <w:iCs/>
          <w:color w:val="000000"/>
        </w:rPr>
        <w:t>United India Insurance Company</w:t>
      </w:r>
      <w:r w:rsidR="00A45A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Ltd v East African Underwriters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[1985] KLR 898.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Judge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jgave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two reasons for declining to enforce the exclusive jurisdiction clause, first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aircraft the subject matter of the agreement of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 had been registered in Kenya and secondly, because the exclusive jurisdiction clause gave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Raytheon unlimited jurisdiction and the terms appeared to be tinctured with oppression. On the question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exclusive jurisdiction clause being oppressive to the respondent, the learned Judge evidently had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sufficient material on which he could decide the issue. There was no affidavit evidence to show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 circumstances under which the agreement was made. It was a complex agreement between two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companies involving the lease of an aircraft, a very expensive asset. Raytheon only reserved jurisdiction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sue in a non – contractual forum on two </w:t>
      </w:r>
      <w:r w:rsidR="00A45A6E">
        <w:rPr>
          <w:rFonts w:ascii="Times New Roman" w:hAnsi="Times New Roman" w:cs="Times New Roman"/>
          <w:color w:val="000000"/>
        </w:rPr>
        <w:t>matters that</w:t>
      </w:r>
      <w:r>
        <w:rPr>
          <w:rFonts w:ascii="Times New Roman" w:hAnsi="Times New Roman" w:cs="Times New Roman"/>
          <w:color w:val="000000"/>
        </w:rPr>
        <w:t xml:space="preserve"> is to sue for repossession of the aircraft in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where it may be located and to sue for any monies due in the jurisdiction where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may have assets. It is not, therefore, entirely correct to say that Raytheon gave itself unlimited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sue over the agreement in any jurisdiction. Although the aircraft was registered in Kenya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it was delivered to the respondent, it had already been removed from the jurisdiction by the time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was filed. There is a further relevant matter that the learned Judge did not consider. The Raytheon’s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counsel, Peter </w:t>
      </w:r>
      <w:proofErr w:type="spellStart"/>
      <w:r>
        <w:rPr>
          <w:rFonts w:ascii="Times New Roman" w:hAnsi="Times New Roman" w:cs="Times New Roman"/>
          <w:color w:val="000000"/>
        </w:rPr>
        <w:t>Obonyo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Mboya</w:t>
      </w:r>
      <w:proofErr w:type="spellEnd"/>
      <w:r>
        <w:rPr>
          <w:rFonts w:ascii="Times New Roman" w:hAnsi="Times New Roman" w:cs="Times New Roman"/>
          <w:color w:val="000000"/>
        </w:rPr>
        <w:t>, deposed that Raytheon had on 15 July 1998 commenced civil proceedings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Kansas against the respondent and served on the respondent’s process agent under the agreement and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annexed a petition dated 15 July 1998. He deposed further that the Kansas proceedings were commenced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proceedings in the High Court and that respondent’s claim in the High Court should be made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counterclaim in the Kansas proceedings. The petition shows that, amongst the relief sought by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Raytheon in Kansas proceedings against the respondent and two others were declarations that that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breached the agreement: that Raytheon was entitled to treat the breach as a repudiation of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lease agreement and to terminate the letting; that Raytheon had a right to repossess the aircraft and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Kansas court had exclusive jurisdiction in the dispute, to the exclusion of any other court.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did not take into account the existence and the nature of the Kansas proceedings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 consider the risk of parallel proceedings and inconsistent decisions if the forum selection and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exclusive jurisdiction clause was not enforced. The respondent did not show strong reasons why it should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 in Kenya. I am satisfied, that in light of the above circumstances, the learned Judge did not exercise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discretion properly and as a result arrived at a wrong decision. Thus, there are good grounds for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interfering with the judge’s exercise of discretion.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Lastly,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Ahmednasir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since the appellant did not file a formal application for stay of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it cannot competently challenge the jurisdiction of the court through a preliminary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Mugambi</w:t>
      </w:r>
      <w:proofErr w:type="spellEnd"/>
      <w:r>
        <w:rPr>
          <w:rFonts w:ascii="Times New Roman" w:hAnsi="Times New Roman" w:cs="Times New Roman"/>
          <w:color w:val="000000"/>
        </w:rPr>
        <w:t>, for the appellant, on the other hand, submitted that the appellant had asked for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of proceedings in the amended notice of preliminary objection and that since there is no provision in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law for filing a formal application for stay of proceedings, a point of jurisdiction can be entertained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a formal application. The point raised by the respondent’s counsel was again considered by this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in the application for stay of proceedings in </w:t>
      </w:r>
      <w:r>
        <w:rPr>
          <w:rFonts w:ascii="Times New Roman" w:hAnsi="Times New Roman" w:cs="Times New Roman"/>
          <w:i/>
          <w:iCs/>
          <w:color w:val="000000"/>
        </w:rPr>
        <w:t>Raytheon Aircraft Credit Corporation and another v</w:t>
      </w:r>
      <w:r w:rsidR="00A45A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Air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Alfaraj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where the court stated: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preliminary objection consists of a point of law which has been pleaded or which arises by clear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implication out of a pleading or an application before the court and which, if argued as a preliminary point,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dispose of the suit . . . The superior court obviously had the jurisdiction to decide the preliminary point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as, if successful, it could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have gone to the very root of the matter. Whilst it would be prudent to make a formal application, the High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has, nevertheless, jurisdiction to hear arguments and rule on a point such as was taken in the superior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court.”</w:t>
      </w:r>
      <w:r w:rsidR="00A45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true that the appellant, by paragraph 3 of the amended notice of preliminary objection, asked that the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proceedings be stayed.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no rules of the court prescribing the procedure for challenging the jurisdiction of the High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by a foreign defendant who has been sued in this country in breach of contractual forum selection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exclusive jurisdiction clause. The procedure suggested by the predecessor of the court in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Prabhadas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and Company v Standard Bank </w:t>
      </w:r>
      <w:r>
        <w:rPr>
          <w:rFonts w:ascii="Times New Roman" w:hAnsi="Times New Roman" w:cs="Times New Roman"/>
          <w:color w:val="000000"/>
        </w:rPr>
        <w:t>[1968] EA 679 at 684 paragraphs C-E, is to enter a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conditional appearance and then move the court for setting aside the process. In </w:t>
      </w:r>
      <w:r>
        <w:rPr>
          <w:rFonts w:ascii="Times New Roman" w:hAnsi="Times New Roman" w:cs="Times New Roman"/>
          <w:i/>
          <w:iCs/>
          <w:color w:val="000000"/>
        </w:rPr>
        <w:t>United India Insurance</w:t>
      </w:r>
      <w:r w:rsidR="00A45A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Company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defendants entered appearance under protest and moved the court for orders to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stay proceedings.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Fonville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the High Court said that the filing of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under protest,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filing of an application for stay of proceedings or striking out the proceeding and the raising of a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to the suit before trial are lawful means of challenging the jurisdiction of the court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see </w:t>
      </w:r>
      <w:r>
        <w:rPr>
          <w:rFonts w:ascii="Times New Roman" w:hAnsi="Times New Roman" w:cs="Times New Roman"/>
          <w:color w:val="000000"/>
        </w:rPr>
        <w:t xml:space="preserve">78 paragraphs I-J). In this case, the appellant had pleaded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court did not have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in view of the exclusive jurisdiction clause and raised a preliminary objection to the suit on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of jurisdiction at a very early stage in the proceedings.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reiterate what this Court said in the application for stay of proceedings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that the High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had jurisdiction to hear argument and rule on the point of jurisdiction.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procedures to be followed in this important area of litigation should no longer be left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uncertain. I would recommend to the Rules Committee that appropriate comprehensive rules of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to be urgently promulgated to facilitate the administration of justice.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foregoing reasons, I would allow the appeal and set aside the orders of the superior court and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substitute therefore, an order that the High Court has no jurisdiction to hear and determine the suit; an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allowing the appellant’s preliminary objection with costs and an order that the suit in the superior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is stayed. Costs of this appeal to the appellants.</w:t>
      </w:r>
      <w:r w:rsidR="00A45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Mugambi</w:t>
      </w:r>
      <w:proofErr w:type="spellEnd"/>
    </w:p>
    <w:p w:rsidR="006D2179" w:rsidRDefault="006D2179" w:rsidP="006D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6D2179" w:rsidP="006D2179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Ahmednasir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79"/>
    <w:rsid w:val="00366D10"/>
    <w:rsid w:val="006D2179"/>
    <w:rsid w:val="00A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DC551-566A-4C4E-BF59-006B47D4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2018-07-04T20:06:00Z</dcterms:created>
  <dcterms:modified xsi:type="dcterms:W3CDTF">2018-07-13T18:28:00Z</dcterms:modified>
</cp:coreProperties>
</file>