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087" w:rsidRDefault="000D3087" w:rsidP="000D3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Bivac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International SA (Bureau Veritas)</w:t>
      </w:r>
    </w:p>
    <w:p w:rsidR="000D3087" w:rsidRDefault="000D3087" w:rsidP="000D3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0D3087" w:rsidRDefault="000D3087" w:rsidP="000D3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29 November 2005</w:t>
      </w:r>
    </w:p>
    <w:p w:rsidR="000D3087" w:rsidRDefault="000D3087" w:rsidP="000D3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1541/05</w:t>
      </w:r>
    </w:p>
    <w:p w:rsidR="000D3087" w:rsidRDefault="000D3087" w:rsidP="000D3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0D3087" w:rsidRDefault="000D3087" w:rsidP="000D3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D3087" w:rsidRDefault="000D3087" w:rsidP="000D3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Judicial review – Application for leave to commence proceedings – Whether leave to operate as stay</w:t>
      </w:r>
    </w:p>
    <w:p w:rsidR="000D3087" w:rsidRDefault="000D3087" w:rsidP="000D3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Applicable principles.</w:t>
      </w:r>
    </w:p>
    <w:p w:rsidR="000D3087" w:rsidRDefault="000D3087" w:rsidP="000D3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E0919" w:rsidRDefault="000D3087" w:rsidP="001E09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By application dated 25 October 2005, the applicant sought leave to apply for an order of </w:t>
      </w:r>
      <w:r>
        <w:rPr>
          <w:rFonts w:ascii="Times New Roman" w:hAnsi="Times New Roman" w:cs="Times New Roman"/>
          <w:i/>
          <w:iCs/>
          <w:color w:val="000000"/>
        </w:rPr>
        <w:t>certiorari</w:t>
      </w:r>
      <w:r>
        <w:rPr>
          <w:rFonts w:ascii="Times New Roman" w:hAnsi="Times New Roman" w:cs="Times New Roman"/>
          <w:color w:val="000000"/>
        </w:rPr>
        <w:t>, to</w:t>
      </w:r>
      <w:r w:rsidR="001E09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move into the court and quash the contracts between Kenya Bureau of Standards and SGS on the one</w:t>
      </w:r>
      <w:r w:rsidR="001E09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hand and </w:t>
      </w:r>
      <w:proofErr w:type="spellStart"/>
      <w:r>
        <w:rPr>
          <w:rFonts w:ascii="Times New Roman" w:hAnsi="Times New Roman" w:cs="Times New Roman"/>
          <w:color w:val="000000"/>
        </w:rPr>
        <w:t>Intertech</w:t>
      </w:r>
      <w:proofErr w:type="spellEnd"/>
      <w:r>
        <w:rPr>
          <w:rFonts w:ascii="Times New Roman" w:hAnsi="Times New Roman" w:cs="Times New Roman"/>
          <w:color w:val="000000"/>
        </w:rPr>
        <w:t xml:space="preserve"> International Limited on the other, for the provision of pre-shipment verification of</w:t>
      </w:r>
      <w:r w:rsidR="001E09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conformity to standards, dated 14 September 2005, among other orders. The applicant also sought orders</w:t>
      </w:r>
      <w:r w:rsidR="001E09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leave so granted does operate as stay of implementation of the contracts in question and of any</w:t>
      </w:r>
      <w:r w:rsidR="001E09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operations thereunder, pending the hearing and determination of the judicial review proceedings.</w:t>
      </w:r>
      <w:r w:rsidR="001E0919">
        <w:rPr>
          <w:rFonts w:ascii="Times New Roman" w:hAnsi="Times New Roman" w:cs="Times New Roman"/>
          <w:color w:val="000000"/>
        </w:rPr>
        <w:t xml:space="preserve"> </w:t>
      </w:r>
    </w:p>
    <w:p w:rsidR="001E0919" w:rsidRDefault="001E0919" w:rsidP="001E09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D3087" w:rsidRDefault="000D3087" w:rsidP="001E09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An application for leave to commence proceedings in the nature of judicial review does restrict</w:t>
      </w:r>
      <w:r w:rsidR="001E09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to threshold issues, namely whether the applicant has an arguable case and whether, if leave is</w:t>
      </w:r>
      <w:r w:rsidR="001E09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granted, the same should operate as a stay.</w:t>
      </w:r>
      <w:r w:rsidR="001E09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Judicial review remedies are discretionary and that discretion is a judicial discretion and, therefore,</w:t>
      </w:r>
      <w:r w:rsidR="001E09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has to explain how the discretion, if any, was exercised so that all the parties are aware of the</w:t>
      </w:r>
      <w:r w:rsidR="001E09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factors which led to the exercise of the court’s discretion and also so that in case of an appeal, the</w:t>
      </w:r>
      <w:r w:rsidR="001E09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appellate court is able to ascertain how and why the court’s discretion was exercised in the manner or</w:t>
      </w:r>
      <w:r w:rsidR="001E09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way it was exercised.</w:t>
      </w:r>
      <w:r w:rsidR="001E09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 arguable case is not ascertained by the court tossing a coin or waving a magic </w:t>
      </w:r>
      <w:r w:rsidR="001E0919">
        <w:rPr>
          <w:rFonts w:ascii="Times New Roman" w:hAnsi="Times New Roman" w:cs="Times New Roman"/>
          <w:color w:val="000000"/>
        </w:rPr>
        <w:t>wand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 or raising a</w:t>
      </w:r>
      <w:r w:rsidR="001E09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green flag, the ascertainment of an arguable case is an intellectual exercise. One has to consider, without</w:t>
      </w:r>
      <w:r w:rsidR="001E09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making any findings, the scope of the judicial review remedy sought, the grounds and possible principles</w:t>
      </w:r>
      <w:r w:rsidR="001E09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administrative law involved and not forget the ever expanding frontiers of judicial review and perhaps</w:t>
      </w:r>
      <w:r w:rsidR="001E09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 an applicant his day in court instead of denying him.</w:t>
      </w:r>
      <w:r w:rsidR="001E09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Like the Biblical mustard seed, which a man took and sowed in his field and which is the smallest of</w:t>
      </w:r>
      <w:r w:rsidR="001E09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seeds but when it grew it became the biggest shrub of all and became a tree so that birds of the air</w:t>
      </w:r>
      <w:r w:rsidR="001E09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came and sheltered in its branches, judicial review stemmed from the doctrine of </w:t>
      </w:r>
      <w:r>
        <w:rPr>
          <w:rFonts w:ascii="Times New Roman" w:hAnsi="Times New Roman" w:cs="Times New Roman"/>
          <w:i/>
          <w:iCs/>
          <w:color w:val="000000"/>
        </w:rPr>
        <w:t xml:space="preserve">ultra vires </w:t>
      </w:r>
      <w:r>
        <w:rPr>
          <w:rFonts w:ascii="Times New Roman" w:hAnsi="Times New Roman" w:cs="Times New Roman"/>
          <w:color w:val="000000"/>
        </w:rPr>
        <w:t>and rules of</w:t>
      </w:r>
      <w:r w:rsidR="001E09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natural justice and has grown to become a legal tree with branches in illegality,</w:t>
      </w:r>
      <w:r w:rsidR="001E09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irrationality, impropriety of procedure and has become the most powerful enforcer of constitutionalism,</w:t>
      </w:r>
      <w:r w:rsidR="001E09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of the greatest promoters of the rule of law and perhaps one of the most powerful tools against abuse</w:t>
      </w:r>
      <w:r w:rsidR="001E09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power and arbitrariness.</w:t>
      </w:r>
      <w:r w:rsidR="001E09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can refuse to order that leave granted for orders of judicial review does operate as a stay</w:t>
      </w:r>
      <w:r w:rsidR="001E09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such a stay would violate the needs of good administration, namely; the speed of decision</w:t>
      </w:r>
      <w:r w:rsidR="001E09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particularly in the financial field; a proper consideration of the public interest; a proper consideration of</w:t>
      </w:r>
      <w:r w:rsidR="001E09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legitimate interest; decisiveness and finality unless there are compelling reasons to the contrary.</w:t>
      </w:r>
    </w:p>
    <w:p w:rsidR="000D3087" w:rsidRDefault="000D3087" w:rsidP="000D3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0D3087" w:rsidRDefault="000D3087" w:rsidP="000D3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0D3087" w:rsidRDefault="000D3087" w:rsidP="000D3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0D3087" w:rsidRDefault="000D3087" w:rsidP="000D3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0D3087" w:rsidRDefault="000D3087" w:rsidP="000D3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0D3087" w:rsidRDefault="000D3087" w:rsidP="000D3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 v Judicial Service Commission of Kenya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 xml:space="preserve">Stephen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Pareno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 miscellaneous number</w:t>
      </w:r>
    </w:p>
    <w:p w:rsidR="000D3087" w:rsidRDefault="000D3087" w:rsidP="000D3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1025 of 2003</w:t>
      </w:r>
    </w:p>
    <w:p w:rsidR="000D3087" w:rsidRDefault="000D3087" w:rsidP="000D3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0D3087" w:rsidRDefault="000D3087" w:rsidP="000D3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John v Rees </w:t>
      </w:r>
      <w:r>
        <w:rPr>
          <w:rFonts w:ascii="Times New Roman" w:hAnsi="Times New Roman" w:cs="Times New Roman"/>
          <w:color w:val="000000"/>
        </w:rPr>
        <w:t xml:space="preserve">[1970] </w:t>
      </w:r>
      <w:proofErr w:type="spellStart"/>
      <w:r>
        <w:rPr>
          <w:rFonts w:ascii="Times New Roman" w:hAnsi="Times New Roman" w:cs="Times New Roman"/>
          <w:color w:val="000000"/>
        </w:rPr>
        <w:t>Ch</w:t>
      </w:r>
      <w:proofErr w:type="spellEnd"/>
      <w:r>
        <w:rPr>
          <w:rFonts w:ascii="Times New Roman" w:hAnsi="Times New Roman" w:cs="Times New Roman"/>
          <w:color w:val="000000"/>
        </w:rPr>
        <w:t xml:space="preserve"> 345</w:t>
      </w:r>
    </w:p>
    <w:p w:rsidR="0080578A" w:rsidRDefault="000D3087" w:rsidP="000D3087">
      <w:r>
        <w:rPr>
          <w:rFonts w:ascii="Times New Roman" w:hAnsi="Times New Roman" w:cs="Times New Roman"/>
          <w:i/>
          <w:iCs/>
          <w:color w:val="000000"/>
        </w:rPr>
        <w:t xml:space="preserve">R v Monopolies and Mergers Commission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 xml:space="preserve">Argyll Group PLC </w:t>
      </w:r>
      <w:r>
        <w:rPr>
          <w:rFonts w:ascii="Times New Roman" w:hAnsi="Times New Roman" w:cs="Times New Roman"/>
          <w:color w:val="000000"/>
        </w:rPr>
        <w:t>[1986] 1 WLR 763</w:t>
      </w:r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087"/>
    <w:rsid w:val="000D3087"/>
    <w:rsid w:val="001E0919"/>
    <w:rsid w:val="0080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9CDD0-0C46-45E4-815B-169B8089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2018-07-04T18:49:00Z</dcterms:created>
  <dcterms:modified xsi:type="dcterms:W3CDTF">2018-07-13T18:29:00Z</dcterms:modified>
</cp:coreProperties>
</file>