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00" w:rsidRPr="0093126C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Bivac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International SA (Bureau Veritas)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2005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1541/05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Application for leave to commence proceedings – Whether leave to operate as stay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Applicable principles.</w:t>
      </w:r>
    </w:p>
    <w:p w:rsidR="00655300" w:rsidRDefault="0093126C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By an application dated 25 October 2005, filed on 26 October 2005, the applicant seeks leave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respect of the following prayers: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leave be granted to the applicant to apply for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to remove into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and quash the contract between the Kenya Bureau of Standards and SGS for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 of services for pre-shipment verification of conformity to standards dated 14 September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2005.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lower court to grant to the applicant to apply for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to remove into that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and quash the contract between the Kenya Bureau of Standards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Interteck</w:t>
      </w:r>
      <w:proofErr w:type="spellEnd"/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International Ltd for the provision of services of the shipment verification of conformity of standards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dated 14 September 2005.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leave be granted to the applicant to apply for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mandamus </w:t>
      </w:r>
      <w:r>
        <w:rPr>
          <w:rFonts w:ascii="Times New Roman" w:hAnsi="Times New Roman" w:cs="Times New Roman"/>
          <w:color w:val="000000"/>
          <w:sz w:val="20"/>
          <w:szCs w:val="20"/>
        </w:rPr>
        <w:t>directed to the Kenya Bureau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tandards requiring the said Kenya Bureau of Standards to invite the applicant to negotiate and sign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contract for provision of services for pre-shipment verification of conformity for standards.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That leave be granted to the applicant to apply for an order of prohibition prohibiting the respondent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entering into any contract for the provision of services for pre-shipment verification of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conformity to standards otherwise than in strict conformity with the terms of the tender.</w:t>
      </w:r>
    </w:p>
    <w:p w:rsidR="0093126C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the grant of leave to operate as a stay of the proceedings in question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implementation of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aforesaid contracts and of any operations there-under pending the hearing and determination of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judicial review proceedings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costs of and occasioned by this application be costs in the cause.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applicant contends that unless an order of stay is granted the judicial review </w:t>
      </w:r>
      <w:proofErr w:type="spellStart"/>
      <w:r>
        <w:rPr>
          <w:rFonts w:ascii="Times New Roman" w:hAnsi="Times New Roman" w:cs="Times New Roman"/>
          <w:color w:val="000000"/>
        </w:rPr>
        <w:t>proceedings,</w:t>
      </w:r>
      <w:proofErr w:type="gramStart"/>
      <w:r>
        <w:rPr>
          <w:rFonts w:ascii="Times New Roman" w:hAnsi="Times New Roman" w:cs="Times New Roman"/>
          <w:color w:val="000000"/>
        </w:rPr>
        <w:t>,with</w:t>
      </w:r>
      <w:proofErr w:type="spellEnd"/>
      <w:proofErr w:type="gramEnd"/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to which leave is sought herein, will be rendered nugatory to the irreparable loss of the applicant.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based on a statement dated 25 October 2005 and filed on the same date, which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is verified by an affidavit of one Jean </w:t>
      </w:r>
      <w:proofErr w:type="spellStart"/>
      <w:r>
        <w:rPr>
          <w:rFonts w:ascii="Times New Roman" w:hAnsi="Times New Roman" w:cs="Times New Roman"/>
          <w:color w:val="000000"/>
        </w:rPr>
        <w:t>Spinosi</w:t>
      </w:r>
      <w:proofErr w:type="spellEnd"/>
      <w:r>
        <w:rPr>
          <w:rFonts w:ascii="Times New Roman" w:hAnsi="Times New Roman" w:cs="Times New Roman"/>
          <w:color w:val="000000"/>
        </w:rPr>
        <w:t xml:space="preserve"> sworn on 25 October 2005 and filed on the same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which has annexures measuring 6 inches.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brief facts are that the matter arises out of an invitation made by the </w:t>
      </w:r>
      <w:proofErr w:type="spellStart"/>
      <w:r>
        <w:rPr>
          <w:rFonts w:ascii="Times New Roman" w:hAnsi="Times New Roman" w:cs="Times New Roman"/>
          <w:color w:val="000000"/>
        </w:rPr>
        <w:t>respondent</w:t>
      </w:r>
      <w:proofErr w:type="gramStart"/>
      <w:r>
        <w:rPr>
          <w:rFonts w:ascii="Times New Roman" w:hAnsi="Times New Roman" w:cs="Times New Roman"/>
          <w:color w:val="000000"/>
        </w:rPr>
        <w:t>,Kenya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Bureau of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Standards (KBS), on 20 July 2005 for tenders to be submitted for selection of agents to offer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pre-shipment verification of conformity. The applicant was invited together with six others to submit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tenders. The tender document granted a right to those who submitted proposals to information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evaluation of proposals and recommendations concerning awards once the successful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tenderers were notified. It is contended, for the applicant, that the respondent refused to provide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on the basis for the award of the tender and the applicant did move this Court in High Court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Miscellaneous 1335 of 2005 by way of a chamber summons dated 12 September 2005 which sought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orders: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the applicant be granted leave to apply for judicial review in the form of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mandamus</w:t>
      </w:r>
      <w:r w:rsidR="0093126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compelling the Kenya Bureau of Standards to provide forthwith to the applicant full and detailed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information of the evaluation of all the relevant proposals for the Tender number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KEBS/TO38/2005/2006 – Pre-shipment verification of conformity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PVoc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to Standards Services and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recommendations made concerning the awards.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applicant be granted leave to apply for judicial review in the form of an Order of Prohibition,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prohibiting the Kenya Bureau of Standards from signing the terms of clause 1.3 (as amended) of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aforesaid tender or any contract unless and until the said information has been provided to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applicant, and if the applicant has been given such adequate and reasonable terms as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may determine to consider the same and act on it, if necessary.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the grant of leave do operate as stay the proceedings in question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tendering process and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signing of any contract pending the hearing and determination of the judicial review proceedings.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costs of and occasioned by this application be costs in the cause.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did, on 12 September 2005, obtain leave to institute judicial review proceedings for an</w:t>
      </w:r>
    </w:p>
    <w:p w:rsidR="0093126C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gramStart"/>
      <w:r>
        <w:rPr>
          <w:rFonts w:ascii="Times New Roman" w:hAnsi="Times New Roman" w:cs="Times New Roman"/>
          <w:color w:val="000000"/>
        </w:rPr>
        <w:t>order</w:t>
      </w:r>
      <w:proofErr w:type="gramEnd"/>
      <w:r>
        <w:rPr>
          <w:rFonts w:ascii="Times New Roman" w:hAnsi="Times New Roman" w:cs="Times New Roman"/>
          <w:color w:val="000000"/>
        </w:rPr>
        <w:t xml:space="preserve">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to compel the respondent to provide the requested information and for an order of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prohibition to restrain the signing of the contract. The applicant was also granted an order that such leave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operates as stay of proceedings in question. The order was served on 14 September 2005 at 10:20am.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>applicant received a letter from the respondent on 19 September 2005, stating that any issue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will be handled in accordance with the Exchequer and Audit (Public Procurement) Regulations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2001 and on 21 September 2005 the applicant counsel responded to the letter pointing out that he said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did not apply to the tender.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15 September 2005, an application for judicial review High Court 1335 of 2005 was filed and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served on the respondent and the second interested party </w:t>
      </w:r>
      <w:proofErr w:type="spellStart"/>
      <w:r>
        <w:rPr>
          <w:rFonts w:ascii="Times New Roman" w:hAnsi="Times New Roman" w:cs="Times New Roman"/>
          <w:color w:val="000000"/>
        </w:rPr>
        <w:t>Intertech</w:t>
      </w:r>
      <w:proofErr w:type="spellEnd"/>
      <w:r>
        <w:rPr>
          <w:rFonts w:ascii="Times New Roman" w:hAnsi="Times New Roman" w:cs="Times New Roman"/>
          <w:color w:val="000000"/>
        </w:rPr>
        <w:t xml:space="preserve"> International “ITS” is on the same day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served on SGS on 16 September 2005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93126C">
        <w:rPr>
          <w:rFonts w:ascii="Times New Roman" w:hAnsi="Times New Roman" w:cs="Times New Roman"/>
          <w:color w:val="000000"/>
        </w:rPr>
        <w:t xml:space="preserve"> 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26 September 2005, ITS in an affidavit filed in support of an application to set aside the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93126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for leave disclosed that the contract was signed on 14 September 2005 “well after” the order had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</w:t>
      </w:r>
      <w:proofErr w:type="gramStart"/>
      <w:r>
        <w:rPr>
          <w:rFonts w:ascii="Times New Roman" w:hAnsi="Times New Roman" w:cs="Times New Roman"/>
          <w:color w:val="000000"/>
        </w:rPr>
        <w:t>served</w:t>
      </w:r>
      <w:proofErr w:type="gramEnd"/>
      <w:r>
        <w:rPr>
          <w:rFonts w:ascii="Times New Roman" w:hAnsi="Times New Roman" w:cs="Times New Roman"/>
          <w:color w:val="000000"/>
        </w:rPr>
        <w:t xml:space="preserve"> on the respondent.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27 September 2005 the applicant counsel received a summary (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tender evaluation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information).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29 September 2005 the applicant counsel wrote to the respondent to reiterate that the Procurement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did not apply to the Tender.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26 September 2005 he applied to have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 for leave set aside.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4 October 2005 SGS made an application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 and the applicant filed a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replying affidavit on 13 October 2005.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proceedings in respect of the above application are still pending.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minutes of the Tender Evaluation Committee, the highest bidder, on both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technical and financial score, was the applicant and </w:t>
      </w:r>
      <w:proofErr w:type="gramStart"/>
      <w:r>
        <w:rPr>
          <w:rFonts w:ascii="Times New Roman" w:hAnsi="Times New Roman" w:cs="Times New Roman"/>
          <w:color w:val="000000"/>
        </w:rPr>
        <w:t>ITS</w:t>
      </w:r>
      <w:proofErr w:type="gramEnd"/>
      <w:r>
        <w:rPr>
          <w:rFonts w:ascii="Times New Roman" w:hAnsi="Times New Roman" w:cs="Times New Roman"/>
          <w:color w:val="000000"/>
        </w:rPr>
        <w:t xml:space="preserve"> in that order and that ITS had failed to satisfy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bid bond requirement. </w:t>
      </w:r>
      <w:proofErr w:type="gramStart"/>
      <w:r>
        <w:rPr>
          <w:rFonts w:ascii="Times New Roman" w:hAnsi="Times New Roman" w:cs="Times New Roman"/>
          <w:color w:val="000000"/>
        </w:rPr>
        <w:t>ITS is</w:t>
      </w:r>
      <w:proofErr w:type="gramEnd"/>
      <w:r>
        <w:rPr>
          <w:rFonts w:ascii="Times New Roman" w:hAnsi="Times New Roman" w:cs="Times New Roman"/>
          <w:color w:val="000000"/>
        </w:rPr>
        <w:t xml:space="preserve"> one of the two successful bidders, the other one being SGS.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applicant the tender document prescribed a schedule of activities as follows: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Release of tender 25 July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Deadline answering questions 8 August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Deadline of submitting proposals 15 August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Contract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awarding 22 August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Signing contract 22 September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(vi) Start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operations 29 September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other hand, according to Eva </w:t>
      </w:r>
      <w:proofErr w:type="spellStart"/>
      <w:r>
        <w:rPr>
          <w:rFonts w:ascii="Times New Roman" w:hAnsi="Times New Roman" w:cs="Times New Roman"/>
          <w:color w:val="000000"/>
        </w:rPr>
        <w:t>Adega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Oduor</w:t>
      </w:r>
      <w:proofErr w:type="spellEnd"/>
      <w:r>
        <w:rPr>
          <w:rFonts w:ascii="Times New Roman" w:hAnsi="Times New Roman" w:cs="Times New Roman"/>
          <w:color w:val="000000"/>
        </w:rPr>
        <w:t xml:space="preserve"> the general manager, Standards Development Division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the Chairperson of the Tenders Tribunal Evaluation Committee of Kenya Bureau of Standards, the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tender</w:t>
      </w:r>
      <w:proofErr w:type="gramEnd"/>
      <w:r>
        <w:rPr>
          <w:rFonts w:ascii="Times New Roman" w:hAnsi="Times New Roman" w:cs="Times New Roman"/>
          <w:color w:val="000000"/>
        </w:rPr>
        <w:t xml:space="preserve"> schedule 1.3 in the tender provides as follows: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Release Tender 25 July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Deadline of Answering questions 1 August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Deadline of submitting proposals 8 August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Contract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Awarding 15 August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Signing of contract 15 September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(vi) Start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operations 22 September 2005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She further </w:t>
      </w:r>
      <w:proofErr w:type="spellStart"/>
      <w:r>
        <w:rPr>
          <w:rFonts w:ascii="Times New Roman" w:hAnsi="Times New Roman" w:cs="Times New Roman"/>
          <w:color w:val="000000"/>
        </w:rPr>
        <w:t>depones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procurement regulations apply, hence, the variation between the two sets of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activities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 has filed a replying affidavit sworn by Eva </w:t>
      </w:r>
      <w:proofErr w:type="spellStart"/>
      <w:r>
        <w:rPr>
          <w:rFonts w:ascii="Times New Roman" w:hAnsi="Times New Roman" w:cs="Times New Roman"/>
          <w:color w:val="000000"/>
        </w:rPr>
        <w:t>Oduor</w:t>
      </w:r>
      <w:proofErr w:type="spellEnd"/>
      <w:r>
        <w:rPr>
          <w:rFonts w:ascii="Times New Roman" w:hAnsi="Times New Roman" w:cs="Times New Roman"/>
          <w:color w:val="000000"/>
        </w:rPr>
        <w:t xml:space="preserve"> on 3 November 2005 and it also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written submissions and a list of authorities. The interested parties have also filed written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and a written reply.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important to mention that when the application came before me for hearing, under a certificate of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urgency on 26 October 2005, I ordered that the application be served on the respondent for hearing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93126C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 November, 2005 when the interested parties (the IPS) also appeared through their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advocates and sought audience.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presence was, of course, a surprise both to the court and to the applicants and the court did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direct in a ruling that the interested parties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be shut out, in view of the fact that they appeared to be the affected parties because of the very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nature of the subject matter.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matter, although written submissions have been filed and many authorities cited to the court by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parties, the court has opted not to refer to them in this ruling because notwithstanding the fact that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IPS were allowed to explain their respective interests the fact of the matter remains that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is ordinarily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and such an application does restrict the court to threshold issues,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 whether the applicant has an arguable case and whether, if leave is granted, the same should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operate as a stay. The other reason why the court should avoid making findings beyond the threshold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issues, as outlined above, is that in the related matter High Court miscellaneous 1335 of 2005 between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and the respondent there are several pending applications where the same issues, as are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herein, feature very prominently and the applications have not been determined.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in view of the complex nature of the </w:t>
      </w:r>
      <w:r>
        <w:rPr>
          <w:rFonts w:ascii="Times New Roman" w:hAnsi="Times New Roman" w:cs="Times New Roman"/>
          <w:color w:val="000000"/>
        </w:rPr>
        <w:lastRenderedPageBreak/>
        <w:t xml:space="preserve">case and the fact that the matter was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 w:rsidR="0093126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IPS allowed to explain their interests, even with the above warnings the court is aware that as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judicial review remedies are at the end of the day discretionary see this Court’s judgment in </w:t>
      </w:r>
      <w:r>
        <w:rPr>
          <w:rFonts w:ascii="Times New Roman" w:hAnsi="Times New Roman" w:cs="Times New Roman"/>
          <w:i/>
          <w:iCs/>
          <w:color w:val="000000"/>
        </w:rPr>
        <w:t>R v Judicial</w:t>
      </w:r>
      <w:r w:rsidR="0093126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Service Commission of Kenya ex parte Stephen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miscellaneous 1025 of 2003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(authority number 6 in the respondent’s bundle), that discretion is a judicial discretion and, for this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reason, a court has to explain how the discretion, if any, was exercised so that all the parties are aware of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factors which led to the exercise of the court’s discretion. For this reason I intend to outline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factors the court took into account without delving into the details. The other reason for outlining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factors is that in the event of an appeal the appellate court should be able to ascertain how and why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discretion was exercised in the way or manner it was exercised.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issue of leave the court finds arguable issues on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basis as follows:</w:t>
      </w:r>
    </w:p>
    <w:p w:rsidR="00655300" w:rsidRDefault="0093126C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W</w:t>
      </w:r>
      <w:r w:rsidR="00655300">
        <w:rPr>
          <w:rFonts w:ascii="Times New Roman" w:hAnsi="Times New Roman" w:cs="Times New Roman"/>
          <w:color w:val="000000"/>
          <w:sz w:val="20"/>
          <w:szCs w:val="20"/>
        </w:rPr>
        <w:t xml:space="preserve">hether judicial review remedies lie in respect of the application and, if so, what are the </w:t>
      </w:r>
      <w:proofErr w:type="gramStart"/>
      <w:r w:rsidR="00655300">
        <w:rPr>
          <w:rFonts w:ascii="Times New Roman" w:hAnsi="Times New Roman" w:cs="Times New Roman"/>
          <w:color w:val="000000"/>
          <w:sz w:val="20"/>
          <w:szCs w:val="20"/>
        </w:rPr>
        <w:t>remedies.</w:t>
      </w:r>
      <w:proofErr w:type="gramEnd"/>
    </w:p>
    <w:p w:rsidR="00655300" w:rsidRDefault="0093126C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W</w:t>
      </w:r>
      <w:r w:rsidR="00655300">
        <w:rPr>
          <w:rFonts w:ascii="Times New Roman" w:hAnsi="Times New Roman" w:cs="Times New Roman"/>
          <w:color w:val="000000"/>
          <w:sz w:val="20"/>
          <w:szCs w:val="20"/>
        </w:rPr>
        <w:t>hether the prayers sought in both applications lie in judicial review or whether they are strictly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55300">
        <w:rPr>
          <w:rFonts w:ascii="Times New Roman" w:hAnsi="Times New Roman" w:cs="Times New Roman"/>
          <w:color w:val="000000"/>
          <w:sz w:val="20"/>
          <w:szCs w:val="20"/>
        </w:rPr>
        <w:t>enforceable as private rights by way of discovery injunction, declarations and damages.</w:t>
      </w:r>
    </w:p>
    <w:p w:rsidR="00655300" w:rsidRDefault="0093126C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W</w:t>
      </w:r>
      <w:r w:rsidR="00655300">
        <w:rPr>
          <w:rFonts w:ascii="Times New Roman" w:hAnsi="Times New Roman" w:cs="Times New Roman"/>
          <w:color w:val="000000"/>
          <w:sz w:val="20"/>
          <w:szCs w:val="20"/>
        </w:rPr>
        <w:t>hether promptness or laches should affect the relief claimed.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bona fides of bringing this second judicial review application which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appear not to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attack any decision but the contracts already signed and the implementation and whether judicial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review remedies can attack signed contracts and their implementation.</w:t>
      </w:r>
    </w:p>
    <w:p w:rsidR="00655300" w:rsidRDefault="0093126C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W</w:t>
      </w:r>
      <w:r w:rsidR="00655300">
        <w:rPr>
          <w:rFonts w:ascii="Times New Roman" w:hAnsi="Times New Roman" w:cs="Times New Roman"/>
          <w:color w:val="000000"/>
          <w:sz w:val="20"/>
          <w:szCs w:val="20"/>
        </w:rPr>
        <w:t xml:space="preserve">hether the source of the power challenged is statute </w:t>
      </w:r>
      <w:proofErr w:type="spellStart"/>
      <w:r w:rsidR="00655300"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 w:rsidR="00655300">
        <w:rPr>
          <w:rFonts w:ascii="Times New Roman" w:hAnsi="Times New Roman" w:cs="Times New Roman"/>
          <w:color w:val="000000"/>
          <w:sz w:val="20"/>
          <w:szCs w:val="20"/>
        </w:rPr>
        <w:t xml:space="preserve"> The Standards Act or the Exchequer and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Audit Act and the regulations or whether the power springs from the contract (or tender).</w:t>
      </w:r>
    </w:p>
    <w:p w:rsidR="00655300" w:rsidRDefault="0093126C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6. W</w:t>
      </w:r>
      <w:r w:rsidR="00655300">
        <w:rPr>
          <w:rFonts w:ascii="Times New Roman" w:hAnsi="Times New Roman" w:cs="Times New Roman"/>
          <w:color w:val="000000"/>
          <w:sz w:val="20"/>
          <w:szCs w:val="20"/>
        </w:rPr>
        <w:t>hether or not there is a contract at all between the applicant and the respondent.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impact of the IPS signed contracts.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impact of any court intervention on other parties including the impact of any such intervention on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country and the economy.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effect in law on the entire application dated 25 October 2005 on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principles.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 w:rsidR="0093126C">
        <w:rPr>
          <w:rFonts w:ascii="Times New Roman" w:hAnsi="Times New Roman" w:cs="Times New Roman"/>
          <w:color w:val="000000"/>
          <w:sz w:val="20"/>
          <w:szCs w:val="20"/>
        </w:rPr>
        <w:t>) C</w:t>
      </w:r>
      <w:r>
        <w:rPr>
          <w:rFonts w:ascii="Times New Roman" w:hAnsi="Times New Roman" w:cs="Times New Roman"/>
          <w:color w:val="000000"/>
          <w:sz w:val="20"/>
          <w:szCs w:val="20"/>
        </w:rPr>
        <w:t>ertiorari quashes an unlawful decision.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 w:rsidR="0093126C">
        <w:rPr>
          <w:rFonts w:ascii="Times New Roman" w:hAnsi="Times New Roman" w:cs="Times New Roman"/>
          <w:color w:val="000000"/>
          <w:sz w:val="20"/>
          <w:szCs w:val="20"/>
        </w:rPr>
        <w:t>) P</w:t>
      </w:r>
      <w:r>
        <w:rPr>
          <w:rFonts w:ascii="Times New Roman" w:hAnsi="Times New Roman" w:cs="Times New Roman"/>
          <w:color w:val="000000"/>
          <w:sz w:val="20"/>
          <w:szCs w:val="20"/>
        </w:rPr>
        <w:t>rohibition prevents a proposed unlawful act in the future.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Mandamus </w:t>
      </w:r>
      <w:r>
        <w:rPr>
          <w:rFonts w:ascii="Times New Roman" w:hAnsi="Times New Roman" w:cs="Times New Roman"/>
          <w:color w:val="000000"/>
          <w:sz w:val="20"/>
          <w:szCs w:val="20"/>
        </w:rPr>
        <w:t>compels the enforcement of a public duty by a public authority.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10.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hether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not the court is entitled at this stage to consider the nature of the Actual relief claimed and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whether it falls outside judicial review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contractual, or discovery and mandatory and other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injunctions.</w:t>
      </w:r>
    </w:p>
    <w:p w:rsidR="00655300" w:rsidRDefault="0093126C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11. W</w:t>
      </w:r>
      <w:r w:rsidR="00655300">
        <w:rPr>
          <w:rFonts w:ascii="Times New Roman" w:hAnsi="Times New Roman" w:cs="Times New Roman"/>
          <w:color w:val="000000"/>
          <w:sz w:val="20"/>
          <w:szCs w:val="20"/>
        </w:rPr>
        <w:t>hether the principles of good administration apply in this case in view of the nature of the contracts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wide spectrum of involvement and effect on other parties, including the country as a whole.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12. Whether the court should take into account the alleged non-obedience of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order in High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 1335 of 2005 and whether these second proceedings are an abuse of the court procedure.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13. Whether the applicant has a right to legitimate expectation to a contract in the circumstances.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14. Whether the respondent bound itself to accepting the lowest or any bid at all.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15. Whether there is a principle of public law on which to compel the respondent to offer the contract to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or any other tenderer.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16. Whether the remedies of specific performance, discovery, </w:t>
      </w:r>
      <w:bookmarkStart w:id="0" w:name="_GoBack"/>
      <w:bookmarkEnd w:id="0"/>
      <w:r w:rsidR="0093126C">
        <w:rPr>
          <w:rFonts w:ascii="Times New Roman" w:hAnsi="Times New Roman" w:cs="Times New Roman"/>
          <w:color w:val="000000"/>
          <w:sz w:val="20"/>
          <w:szCs w:val="20"/>
        </w:rPr>
        <w:t>and injunctions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are available in judicial review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Kenya.</w:t>
      </w:r>
    </w:p>
    <w:p w:rsidR="00655300" w:rsidRDefault="0093126C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17. W</w:t>
      </w:r>
      <w:r w:rsidR="00655300">
        <w:rPr>
          <w:rFonts w:ascii="Times New Roman" w:hAnsi="Times New Roman" w:cs="Times New Roman"/>
          <w:color w:val="000000"/>
          <w:sz w:val="20"/>
          <w:szCs w:val="20"/>
        </w:rPr>
        <w:t>hether what is sought to be enforced are private rights against a public body.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estimation of the court the above are all arguable issues and although the court is aware of the test</w:t>
      </w:r>
    </w:p>
    <w:p w:rsidR="00655300" w:rsidRDefault="00655300" w:rsidP="00931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formulated by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Wanjuguna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Ministry of Agriculture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)–that there should be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arguable case which without delving into details could, succeed, this particular case raises issues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could tilt the tables either way when fully ventilated but it might be in the interest of justice to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them heard on merit instead of, so to speak, tossing a coin.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prayers for leave the above outline of possible arguable issues tilts the balance in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granting leave. In my view, an arguable case is not ascertained by the court by tossing a coin or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waving a magic </w:t>
      </w:r>
      <w:proofErr w:type="spellStart"/>
      <w:r>
        <w:rPr>
          <w:rFonts w:ascii="Times New Roman" w:hAnsi="Times New Roman" w:cs="Times New Roman"/>
          <w:color w:val="000000"/>
        </w:rPr>
        <w:t>ward</w:t>
      </w:r>
      <w:proofErr w:type="spellEnd"/>
      <w:r>
        <w:rPr>
          <w:rFonts w:ascii="Times New Roman" w:hAnsi="Times New Roman" w:cs="Times New Roman"/>
          <w:color w:val="000000"/>
        </w:rPr>
        <w:t xml:space="preserve"> or raising a green flag, the ascertainment of an arguable case is an intellectual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in this fast growing area of law. One has to consider, without making any findings, the scope of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judicial review remedy sought, the grounds and the possible principles of administrative law involved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forget the ever expanding frontiers of judicial review and perhaps give an applicant his day in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instead of denying him. Like the Biblical mustard seed which a man took and sowed in his field and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the smallest of all seeds but when it grew it became the biggest shrub of all and became a tree so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birds of the air came and sheltered in its branches, judicial review stemmed </w:t>
      </w:r>
      <w:r>
        <w:rPr>
          <w:rFonts w:ascii="Times New Roman" w:hAnsi="Times New Roman" w:cs="Times New Roman"/>
          <w:color w:val="000000"/>
        </w:rPr>
        <w:lastRenderedPageBreak/>
        <w:t>from the doctrine of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ultra vires </w:t>
      </w:r>
      <w:r>
        <w:rPr>
          <w:rFonts w:ascii="Times New Roman" w:hAnsi="Times New Roman" w:cs="Times New Roman"/>
          <w:color w:val="000000"/>
        </w:rPr>
        <w:t>and rules of natural justice and has grown to become a legal tree with branches in illegality,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irrationality, impropriety of procedure (the three “I’s”) and has become the most powerful enforcer of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constitutionalism, one of the greatest promoters of the rule of law and perhaps one of the most powerful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tools against abuse of power and arbitrariness. One can safely state that the growth of judicial review can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be compared to the never ending categories of negligence after the celebrated cause of </w:t>
      </w:r>
      <w:r>
        <w:rPr>
          <w:rFonts w:ascii="Times New Roman" w:hAnsi="Times New Roman" w:cs="Times New Roman"/>
          <w:i/>
          <w:iCs/>
          <w:color w:val="000000"/>
        </w:rPr>
        <w:t>Donoghue v</w:t>
      </w:r>
      <w:r w:rsidR="0093126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Stephenson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in the last century. Of course I am not advocating the granting of leave as a matter of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routine, without reflecting on the principles of judicial review and its unique jurisdiction – but where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doubt one should consider the wise words of </w:t>
      </w:r>
      <w:proofErr w:type="spellStart"/>
      <w:r>
        <w:rPr>
          <w:rFonts w:ascii="Times New Roman" w:hAnsi="Times New Roman" w:cs="Times New Roman"/>
          <w:color w:val="000000"/>
        </w:rPr>
        <w:t>Megarry</w:t>
      </w:r>
      <w:proofErr w:type="spellEnd"/>
      <w:r>
        <w:rPr>
          <w:rFonts w:ascii="Times New Roman" w:hAnsi="Times New Roman" w:cs="Times New Roman"/>
          <w:color w:val="000000"/>
        </w:rPr>
        <w:t xml:space="preserve"> J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John v Rees </w:t>
      </w:r>
      <w:r>
        <w:rPr>
          <w:rFonts w:ascii="Times New Roman" w:hAnsi="Times New Roman" w:cs="Times New Roman"/>
          <w:color w:val="000000"/>
        </w:rPr>
        <w:t xml:space="preserve">[1970]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345 at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402: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may be that there are some who would decry the importance which the courts attach to the observance of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rules of natural justice. When something is obvious, they say,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‘ why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force everybody to go through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tiresome waste of time involving in framing charges and giving an opportunity to be heard? The result is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obvious from the start.’ Those who take this view do not, I think, do themselves justice. As everybody who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anything to do with the law well knows, the path of the law is strewn with open and shut cases which,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somehow, were not, of unanswerable charges which, in the event were completely answered; of inexplicable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conduct which was fully explained: of fixed and unalterable determinations that, by discussion suffered a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change. Nor are those with any knowledge of human nature who pause to think for a moment likely to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underestimate the feelings of resentment of those who find that a decision against them has been made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their being afforded any opportunity to influence the course of events.”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is why the litany of arguable issues, as listed above, should be given a day in court without any final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pronouncements at this stage. With the above in view, I do grant leave in terms of prayers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in the application dated 25 October 2005.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as regards prayer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on stay the same is refused after taking into account the following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factors: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no decision has been attacked and the contracts have already been signed and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implementation or roll out of services has already commenced.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Although it is arguable whether the regulations under the Exchequer Act apply – the applicant appears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have had an opportunity to attack the decision to award the contract under the regulations and did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avail itself of the opportunity and instead through its advocates insisted that the regulations did not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apply. There is a machinery of challenge under the regulations and it is possible interim relief by way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stay would have been obtained in good. . 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orders sought in respect of the first application, and which took up quite a bit of time even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assuming that the procurement regulation did not apply, were not directed at the decision to award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 at all. They sought information and prohibition whereas judicial review is generally aimed at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decisions and the decision making process.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view of the court is that challenges could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merited under both regimes – even on the assumption that the procurement regulations do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not apply.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there was an opportunity to obtain a stay based on an application seeking leave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apply for orders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and prohibition. This was not done in respect of the first application.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Although the challenged contracts were signed on 14 September 2005 this application was not filed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until 26 October 2005 and the delay has not been satisfactorily explained. The reason that information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concerning the award was not immediately availed should have put the applicant on its guard and a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challenge should have been launched immediately after the notification of award or immediately after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signing of the contracts.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The principles of good administration are, in the view of this Court, a factor in the exercise of this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Court’s discretion. There is absolute need for finality, for example, to enable the roll out. Other parties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involved including the wider interest of the nation to have continuous services in this critical area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interruption. Promptness is therefore a key factor in the exercise of the court’s discretion.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offer of an undertaking as to damages is not a major factor in favour of granting a stay because of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nature of the contracts and their impact on interested parties including the country.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exercise of my discretion on whether or not to grant stay this is the second case, where I have taken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into account the needs of good administration as outlined by Sir John Donaldson,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in the case of </w:t>
      </w:r>
      <w:r>
        <w:rPr>
          <w:rFonts w:ascii="Times New Roman" w:hAnsi="Times New Roman" w:cs="Times New Roman"/>
          <w:i/>
          <w:iCs/>
          <w:color w:val="000000"/>
        </w:rPr>
        <w:t>R v</w:t>
      </w:r>
      <w:r w:rsidR="0093126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Monopolies and Mergers Commission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Argyll Group PLC </w:t>
      </w:r>
      <w:r>
        <w:rPr>
          <w:rFonts w:ascii="Times New Roman" w:hAnsi="Times New Roman" w:cs="Times New Roman"/>
          <w:color w:val="000000"/>
        </w:rPr>
        <w:t>[1986] 1 WLR 763 Court of Appeal,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are sitting as a public law court concerned to review an administrative decision, albeit one which has to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 reached by the application of judicial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quasi judicial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principles. We have to approach our duties with a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 awareness of needs of public administration. I cannot catalogue them all, in the present context, would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draw attention to a few which are relevant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ood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is concerned with speed of decision particularly in the financial field . . .If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court were to intervene it will take a while before a fresh decision and contract 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finalised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 matter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touching the lifeline of this country’s economy and security as well.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ood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 administration requires a proper consideration of the public interest . 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.in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this factor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does merge with 1 above.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ood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 administration requires a proper consideration of legitimate interests. In this case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legitimate interest of the applicant to the contract must be weighed with the legitimate interests of the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country and those of the IPS.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astly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good public administration requires decisiveness and finality unless there are compelling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reasons to the contrary . . .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case at hand the user of the services which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are the subject-matter of the suit have already been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informed following the signing of the contracts, after the expiry of the roll out period and they are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entitled to organise with certainty their commercial transactions and their relationships with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customers and affected countries for the period in question 2005 to 2006.”</w:t>
      </w:r>
      <w:r w:rsidR="009312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in the light of the above considerations and the issue of promptness in seeking </w:t>
      </w:r>
      <w:proofErr w:type="gramStart"/>
      <w:r>
        <w:rPr>
          <w:rFonts w:ascii="Times New Roman" w:hAnsi="Times New Roman" w:cs="Times New Roman"/>
          <w:color w:val="000000"/>
        </w:rPr>
        <w:t>relief, that</w:t>
      </w:r>
      <w:proofErr w:type="gramEnd"/>
      <w:r>
        <w:rPr>
          <w:rFonts w:ascii="Times New Roman" w:hAnsi="Times New Roman" w:cs="Times New Roman"/>
          <w:color w:val="000000"/>
        </w:rPr>
        <w:t xml:space="preserve"> I decline to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that the leave granted should operate as stay.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Taking the above factors on a strictly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basis this Court’s discretion is exercised against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of leave to operate as a stay and prayer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is refused. I order that costs abide the outcome of the</w:t>
      </w:r>
      <w:r w:rsidR="009312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judicial review.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655300" w:rsidRDefault="00655300" w:rsidP="00655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</w:t>
      </w:r>
    </w:p>
    <w:p w:rsidR="0080578A" w:rsidRDefault="00655300" w:rsidP="00655300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00"/>
    <w:rsid w:val="00655300"/>
    <w:rsid w:val="0080578A"/>
    <w:rsid w:val="0093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901DE-52D4-403B-ACE2-33537504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2018-07-04T18:50:00Z</dcterms:created>
  <dcterms:modified xsi:type="dcterms:W3CDTF">2018-07-13T18:35:00Z</dcterms:modified>
</cp:coreProperties>
</file>