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3BB" w:rsidRPr="004818EF" w:rsidRDefault="003453BB" w:rsidP="003453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Ghelani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Impex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</w:t>
      </w:r>
    </w:p>
    <w:p w:rsidR="003453BB" w:rsidRDefault="003453BB" w:rsidP="003453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3453BB" w:rsidRDefault="003453BB" w:rsidP="003453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29 November 1974</w:t>
      </w:r>
    </w:p>
    <w:p w:rsidR="003453BB" w:rsidRDefault="003453BB" w:rsidP="003453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3/1974 (17/75)</w:t>
      </w:r>
    </w:p>
    <w:p w:rsidR="003453BB" w:rsidRDefault="003453BB" w:rsidP="003453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Madan J</w:t>
      </w:r>
    </w:p>
    <w:p w:rsidR="003453BB" w:rsidRDefault="003453BB" w:rsidP="003453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453BB" w:rsidRDefault="003453BB" w:rsidP="003453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Company – Winding-up – Debt – No debt due on a foreign arbitration award until sued on or leave</w:t>
      </w:r>
    </w:p>
    <w:p w:rsidR="003453BB" w:rsidRDefault="003453BB" w:rsidP="003453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given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enforcement – Arbitration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49),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27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.).</w:t>
      </w:r>
    </w:p>
    <w:p w:rsidR="003453BB" w:rsidRDefault="004818EF" w:rsidP="004818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3453BB" w:rsidRDefault="003453BB" w:rsidP="004818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Madan J: </w:t>
      </w:r>
      <w:r>
        <w:rPr>
          <w:rFonts w:ascii="Times New Roman" w:hAnsi="Times New Roman" w:cs="Times New Roman"/>
          <w:color w:val="000000"/>
        </w:rPr>
        <w:t>This is a petition for winding up order against the named company on the ground that the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is unable to pay its debts. In addition to the petitioning creditor, another creditor of the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is represented in these proceedings in support of the petition for a winding up order.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company, under two agreements entered into with the petitioning creditor, undertook the sale and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delivery of a certain quantity of cotton seed cake expellers to the petitioning creditor at an agreed price.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agreements provided that any disputes arising out of or under the same were to be settled by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 in London in accordance with the Arbitration Rules of the Grain and Feed Trade Association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Ltd. The company having failed to perform its obligations in full under the agreements the matter was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two arbitrators who were appointed jointly to determine whether the company had committed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breaches of the same, and, if so, to ascertain the quantum of damages payable to the petitioning creditor.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arbitrators made five awards, giving the petitioning creditor a total of sterling £38,456, or, when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converted,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666,996/85. The company’s appeals against two of the awards were dismissed. The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 states that now there are no proceedings pending in England for contesting any of the awards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have all become final.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Demands have been made upon the company for the payment of its debts but unsuccessfully. A notice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informing the company of intention to petition the court for a winding up order unless payment was made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secured or compounded within the next three weeks in which event the company would be deemed to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unable to pay its debts, also went unheeded.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affidavit sworn by a director of the company points out that the alleged debt is also the subject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of five suits in the High Court in Kenya in which the petitioning creditor is seeking leave of the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enforce the awards upon which the alleged debts are based and to have judgment entered in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favour of the petitioning creditor. The affidavit continues that the company has disputed the debt and the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five suits are still pending; that in view of the premises this petition is misconceived and it ought to be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dismissed: or, in the alternative, stood over pending determination of the five suits.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S.219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Companies Act provides that a company may be wound up if the company is unable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pay its debts. The short question is whether there is a debt payable by the company to the petitioning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creditor in Kenya upon which the petitioning creditor can base this petition.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awards referred to are foreign awards to which Part III of the Arbitration Act (Cap. 49), applies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virtue of definition of foreign award in s. 2 of that Act.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S.32 (1) of the same Act provides that subject to Part III a foreign award is enforceable in Kenya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either by action or in the same manner as the award of an arbitrator is enforceable under s. 27. The court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been told that no action has been filed by the petitioning creditor to enforce the awards as such.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S.27 provides that an award on an arbitration agreement may, by leave of the High Court, be enforced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same manner as a decree or order to the same effect, and where leave is given, judgment shall be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entered in terms of the award together with costs of the application.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clear that even a local award may not be enforced without leave of the High Court. How is it then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possible to enforce a foreign award without such leave? Until such leave is given by the High Court there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merely a right to apply for it, save that a foreign award may also be enforced by action. With respect,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Esmail</w:t>
      </w:r>
      <w:proofErr w:type="spellEnd"/>
      <w:r>
        <w:rPr>
          <w:rFonts w:ascii="Times New Roman" w:hAnsi="Times New Roman" w:cs="Times New Roman"/>
          <w:color w:val="000000"/>
        </w:rPr>
        <w:t xml:space="preserve"> for the petitioning creditor was wrong when he said no leave is necessary under s. 27. He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was, however, right in his submission that there is no distinction between a local and foreign award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the conditions for enforcement are satisfied, and the procedure selected is under s. 27. The most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important, in fact the indispensable, condition is to obtain leave of the High Court to enforce the award.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Esmail</w:t>
      </w:r>
      <w:proofErr w:type="spellEnd"/>
      <w:r>
        <w:rPr>
          <w:rFonts w:ascii="Times New Roman" w:hAnsi="Times New Roman" w:cs="Times New Roman"/>
          <w:color w:val="000000"/>
        </w:rPr>
        <w:t xml:space="preserve"> has also argued that quite apart from the statutory provisions for the enforcement of an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award, there is a right at common law to claim payment of a debt due, and the company is indebted to the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petitioning creditor in Kenya quite apart from anywhere </w:t>
      </w:r>
      <w:r>
        <w:rPr>
          <w:rFonts w:ascii="Times New Roman" w:hAnsi="Times New Roman" w:cs="Times New Roman"/>
          <w:color w:val="000000"/>
        </w:rPr>
        <w:lastRenderedPageBreak/>
        <w:t xml:space="preserve">else. Mr. </w:t>
      </w:r>
      <w:proofErr w:type="spellStart"/>
      <w:r>
        <w:rPr>
          <w:rFonts w:ascii="Times New Roman" w:hAnsi="Times New Roman" w:cs="Times New Roman"/>
          <w:color w:val="000000"/>
        </w:rPr>
        <w:t>Esmail</w:t>
      </w:r>
      <w:proofErr w:type="spellEnd"/>
      <w:r>
        <w:rPr>
          <w:rFonts w:ascii="Times New Roman" w:hAnsi="Times New Roman" w:cs="Times New Roman"/>
          <w:color w:val="000000"/>
        </w:rPr>
        <w:t xml:space="preserve"> also said that the remedy at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common law is concurrent with the statutory remedy. In my opinion no such remedy is available at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common law in Kenya in respect of a foreign award unless it has been </w:t>
      </w:r>
      <w:proofErr w:type="spellStart"/>
      <w:r>
        <w:rPr>
          <w:rFonts w:ascii="Times New Roman" w:hAnsi="Times New Roman" w:cs="Times New Roman"/>
          <w:color w:val="000000"/>
        </w:rPr>
        <w:t>crystallised</w:t>
      </w:r>
      <w:proofErr w:type="spellEnd"/>
      <w:r>
        <w:rPr>
          <w:rFonts w:ascii="Times New Roman" w:hAnsi="Times New Roman" w:cs="Times New Roman"/>
          <w:color w:val="000000"/>
        </w:rPr>
        <w:t xml:space="preserve"> into a debt either by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or it becomes enforceable by leave of the High Court under s. 27. No remedy therefore is available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common law to enforce a foreign award in Kenya. In this respect, the provisions of s. 36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 Act are also of no avail because the same statute itself provides a method of enforcement of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award to the exclusion of any other remedy.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petitioning creditor has not followed the prescribed procedure. There-fore, so far, there is no debt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payable by the company to the petitioning creditor in Kenya.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, relying upon the judgment of Kerr, J.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Dalmia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Cement Ltd. v. National Bank of</w:t>
      </w:r>
      <w:r w:rsidR="004818E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Pakistan</w:t>
      </w:r>
      <w:r>
        <w:rPr>
          <w:rFonts w:ascii="Times New Roman" w:hAnsi="Times New Roman" w:cs="Times New Roman"/>
          <w:color w:val="000000"/>
        </w:rPr>
        <w:t>, [1974] 3 W.L.R. 138, submitted that there is a lacuna in the law because there is no reciprocal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legislation to enforce in Kenya an award delivered in a foreign country as in this case. If Mr.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care to read the learned judgment of Law, J.A., in the Court of Appeal in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i/>
          <w:iCs/>
          <w:color w:val="000000"/>
        </w:rPr>
        <w:t>Kassamali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Gulamhussein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Kyrtatas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Bros</w:t>
      </w:r>
      <w:r>
        <w:rPr>
          <w:rFonts w:ascii="Times New Roman" w:hAnsi="Times New Roman" w:cs="Times New Roman"/>
          <w:color w:val="000000"/>
        </w:rPr>
        <w:t>., [1968] E.A. 542, his discomfiture and any doubts that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assail him will be set at rest. He will also find the relevant protocol set out in the first schedule to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 Act, which has been made applicable in Kenya.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modern times, and at the stage of development of jurisprudence we have reached, this petition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 an irrefutable example of heartrending frustration felt sometimes over difficulties arising from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 technicalities. But that is the way the law is written. Helpless, I must administer the law the way it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written.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petition was quite unnecessary, especially in view of the five suits filed before it by the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petitioning creditor in respect of the same awards. I think it was intended to </w:t>
      </w:r>
      <w:proofErr w:type="spellStart"/>
      <w:r>
        <w:rPr>
          <w:rFonts w:ascii="Times New Roman" w:hAnsi="Times New Roman" w:cs="Times New Roman"/>
          <w:color w:val="000000"/>
        </w:rPr>
        <w:t>pressurise</w:t>
      </w:r>
      <w:proofErr w:type="spellEnd"/>
      <w:r>
        <w:rPr>
          <w:rFonts w:ascii="Times New Roman" w:hAnsi="Times New Roman" w:cs="Times New Roman"/>
          <w:color w:val="000000"/>
        </w:rPr>
        <w:t xml:space="preserve"> the company into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submission. The court will not tolerate nor sanction a double attack of this kind. The petition is therefore</w:t>
      </w:r>
      <w:r w:rsidR="004818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with costs.</w:t>
      </w:r>
    </w:p>
    <w:p w:rsidR="003453BB" w:rsidRDefault="003453BB" w:rsidP="003453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3453BB" w:rsidRDefault="003453BB" w:rsidP="003453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petitioner:</w:t>
      </w:r>
    </w:p>
    <w:p w:rsidR="003453BB" w:rsidRDefault="003453BB" w:rsidP="003453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Esmail</w:t>
      </w:r>
      <w:proofErr w:type="spellEnd"/>
      <w:r>
        <w:rPr>
          <w:rFonts w:ascii="Times New Roman" w:hAnsi="Times New Roman" w:cs="Times New Roman"/>
          <w:color w:val="000000"/>
        </w:rPr>
        <w:t>, Nairobi)</w:t>
      </w:r>
    </w:p>
    <w:p w:rsidR="003453BB" w:rsidRDefault="003453BB" w:rsidP="003453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company:</w:t>
      </w:r>
    </w:p>
    <w:p w:rsidR="00E43AAB" w:rsidRDefault="003453BB" w:rsidP="003453BB">
      <w:r>
        <w:rPr>
          <w:rFonts w:ascii="Times New Roman" w:hAnsi="Times New Roman" w:cs="Times New Roman"/>
          <w:i/>
          <w:iCs/>
          <w:color w:val="000000"/>
        </w:rPr>
        <w:t xml:space="preserve">AA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Lakha</w:t>
      </w:r>
      <w:proofErr w:type="spellEnd"/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BB"/>
    <w:rsid w:val="003453BB"/>
    <w:rsid w:val="004818EF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13167-02E0-4754-A068-E94BF617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2018-07-06T12:50:00Z</dcterms:created>
  <dcterms:modified xsi:type="dcterms:W3CDTF">2018-07-12T20:35:00Z</dcterms:modified>
</cp:coreProperties>
</file>