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Kahawa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Sukari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March 2003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23/02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OP </w:t>
      </w:r>
      <w:proofErr w:type="spellStart"/>
      <w:r>
        <w:rPr>
          <w:rFonts w:ascii="Times New Roman" w:hAnsi="Times New Roman" w:cs="Times New Roman"/>
          <w:color w:val="000000"/>
        </w:rPr>
        <w:t>Nagpal</w:t>
      </w:r>
      <w:proofErr w:type="spellEnd"/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Companies Act – Member of a company – Who constitutes a member of a company – Section 211 –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Companies Act (Chapter 486).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Company law – Grant of letters of administration of estate of a deceased member – Failure of the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administrator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registered as a member – Whether the administrator member by virtue of the grant.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Company law – Petitioner with grant of letters of administration </w:t>
      </w:r>
      <w:r>
        <w:rPr>
          <w:rFonts w:ascii="Times New Roman" w:hAnsi="Times New Roman" w:cs="Times New Roman"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color w:val="000000"/>
        </w:rPr>
        <w:t>colligenda</w:t>
      </w:r>
      <w:proofErr w:type="spellEnd"/>
      <w:r>
        <w:rPr>
          <w:rFonts w:ascii="Times New Roman" w:hAnsi="Times New Roman" w:cs="Times New Roman"/>
          <w:color w:val="000000"/>
        </w:rPr>
        <w:t xml:space="preserve"> bona </w:t>
      </w:r>
      <w:r>
        <w:rPr>
          <w:rFonts w:ascii="Times New Roman" w:hAnsi="Times New Roman" w:cs="Times New Roman"/>
          <w:i/>
          <w:iCs/>
          <w:color w:val="000000"/>
        </w:rPr>
        <w:t>in respect of the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estate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a deceased member – Whether the petitioner a member by virtue of the grant – Section 211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Companies Act (Chapter 486).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C4681" w:rsidRDefault="00F40B36" w:rsidP="008C46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petitioner was the son of one Paul </w:t>
      </w:r>
      <w:proofErr w:type="spellStart"/>
      <w:r>
        <w:rPr>
          <w:rFonts w:ascii="Times New Roman" w:hAnsi="Times New Roman" w:cs="Times New Roman"/>
          <w:color w:val="000000"/>
        </w:rPr>
        <w:t>Mungai</w:t>
      </w:r>
      <w:proofErr w:type="spellEnd"/>
      <w:r>
        <w:rPr>
          <w:rFonts w:ascii="Times New Roman" w:hAnsi="Times New Roman" w:cs="Times New Roman"/>
          <w:color w:val="000000"/>
        </w:rPr>
        <w:t xml:space="preserve"> (deceased) who was a director and shareholder of a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known as </w:t>
      </w:r>
      <w:proofErr w:type="spellStart"/>
      <w:r>
        <w:rPr>
          <w:rFonts w:ascii="Times New Roman" w:hAnsi="Times New Roman" w:cs="Times New Roman"/>
          <w:color w:val="000000"/>
        </w:rPr>
        <w:t>Kahawa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Sukari</w:t>
      </w:r>
      <w:proofErr w:type="spellEnd"/>
      <w:r>
        <w:rPr>
          <w:rFonts w:ascii="Times New Roman" w:hAnsi="Times New Roman" w:cs="Times New Roman"/>
          <w:color w:val="000000"/>
        </w:rPr>
        <w:t xml:space="preserve"> Limited together with three others as its inception in 1982. In 2000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the directors, Laban </w:t>
      </w:r>
      <w:proofErr w:type="spellStart"/>
      <w:r>
        <w:rPr>
          <w:rFonts w:ascii="Times New Roman" w:hAnsi="Times New Roman" w:cs="Times New Roman"/>
          <w:color w:val="000000"/>
        </w:rPr>
        <w:t>Muiruri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Kimungu</w:t>
      </w:r>
      <w:proofErr w:type="spellEnd"/>
      <w:r>
        <w:rPr>
          <w:rFonts w:ascii="Times New Roman" w:hAnsi="Times New Roman" w:cs="Times New Roman"/>
          <w:color w:val="000000"/>
        </w:rPr>
        <w:t>, died and his widow was made a director and signatory of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company’s account pending her obtaining letters of administration of her deceased husband’s estate.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gramStart"/>
      <w:r>
        <w:rPr>
          <w:rFonts w:ascii="Times New Roman" w:hAnsi="Times New Roman" w:cs="Times New Roman"/>
          <w:color w:val="000000"/>
        </w:rPr>
        <w:t>petitioners</w:t>
      </w:r>
      <w:proofErr w:type="gramEnd"/>
      <w:r>
        <w:rPr>
          <w:rFonts w:ascii="Times New Roman" w:hAnsi="Times New Roman" w:cs="Times New Roman"/>
          <w:color w:val="000000"/>
        </w:rPr>
        <w:t xml:space="preserve"> family requested the directors to make the petitioner a director of the company. The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advised the family to first obtain letters of administration of the estate. The petitioner obtained a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 of 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>which did not state the purpose for which it was issued, and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the company but the directors still refused to transfer his father’s shares to him. The petitioner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filed this petition under section 211 of the Companies Act seeking orders that he be made a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and signatory of its accounts; he be made available records of sales of the company from its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inception or in the alternative; he be supplied with its audited accounts, he be supplied with its audited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and an injunction to restrain the directors from setting plots and its accounts be frozen pending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compliance with the Court order. The petitioner then took out a chamber summons restraining the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from selling or disposing of the property belonging to the respondent and from operating its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accounts. The company also filed an application to restrain the petitioner from advertising the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 Both applications were argued together.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argued for the company that the petitioner did not have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file the petition under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211 and that the conditions for grant of an injunction were not satisfied.</w:t>
      </w:r>
      <w:r w:rsidR="008C4681">
        <w:rPr>
          <w:rFonts w:ascii="Times New Roman" w:hAnsi="Times New Roman" w:cs="Times New Roman"/>
          <w:color w:val="000000"/>
        </w:rPr>
        <w:t xml:space="preserve"> </w:t>
      </w:r>
    </w:p>
    <w:p w:rsidR="008C4681" w:rsidRDefault="008C4681" w:rsidP="008C46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0B36" w:rsidRDefault="00F40B36" w:rsidP="008C46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 xml:space="preserve">A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 xml:space="preserve">which did not state the purpose for which it was granted was void </w:t>
      </w:r>
      <w:r>
        <w:rPr>
          <w:rFonts w:ascii="Times New Roman" w:hAnsi="Times New Roman" w:cs="Times New Roman"/>
          <w:i/>
          <w:iCs/>
          <w:color w:val="000000"/>
        </w:rPr>
        <w:t>ab</w:t>
      </w:r>
      <w:r w:rsidR="008C46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initio </w:t>
      </w:r>
      <w:r>
        <w:rPr>
          <w:rFonts w:ascii="Times New Roman" w:hAnsi="Times New Roman" w:cs="Times New Roman"/>
          <w:color w:val="000000"/>
        </w:rPr>
        <w:t>and incurably defective.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grant of letters of administration intestate is not sufficient to constitute the petitioner a member of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company under section 211 of the Companies Act. A person who obtains grant </w:t>
      </w:r>
      <w:r>
        <w:rPr>
          <w:rFonts w:ascii="Times New Roman" w:hAnsi="Times New Roman" w:cs="Times New Roman"/>
          <w:i/>
          <w:iCs/>
          <w:color w:val="000000"/>
        </w:rPr>
        <w:t xml:space="preserve">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colligenda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bona </w:t>
      </w:r>
      <w:r>
        <w:rPr>
          <w:rFonts w:ascii="Times New Roman" w:hAnsi="Times New Roman" w:cs="Times New Roman"/>
          <w:color w:val="000000"/>
        </w:rPr>
        <w:t>is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 representative of the estate of the deceased until he obtains a full grant. Even a person with a full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 cannot be treated a member of a company until he is entered in the register of members; </w:t>
      </w:r>
      <w:r>
        <w:rPr>
          <w:rFonts w:ascii="Times New Roman" w:hAnsi="Times New Roman" w:cs="Times New Roman"/>
          <w:i/>
          <w:iCs/>
          <w:color w:val="000000"/>
        </w:rPr>
        <w:t xml:space="preserve">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Jeryrn</w:t>
      </w:r>
      <w:proofErr w:type="spellEnd"/>
      <w:r w:rsidR="008C46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Street Turkish Baths Limited </w:t>
      </w:r>
      <w:r>
        <w:rPr>
          <w:rFonts w:ascii="Times New Roman" w:hAnsi="Times New Roman" w:cs="Times New Roman"/>
          <w:color w:val="000000"/>
        </w:rPr>
        <w:t>[1970] 3 All ER 57 distinguished</w:t>
      </w:r>
      <w:r>
        <w:rPr>
          <w:rFonts w:ascii="Times New Roman" w:hAnsi="Times New Roman" w:cs="Times New Roman"/>
          <w:i/>
          <w:iCs/>
          <w:color w:val="000000"/>
        </w:rPr>
        <w:t xml:space="preserve">, Re Meyer Douglas Pty Ltd </w:t>
      </w:r>
      <w:r>
        <w:rPr>
          <w:rFonts w:ascii="Times New Roman" w:hAnsi="Times New Roman" w:cs="Times New Roman"/>
          <w:color w:val="000000"/>
        </w:rPr>
        <w:t>[1965] VR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638 approved.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Orbiter dictum</w:t>
      </w:r>
      <w:r>
        <w:rPr>
          <w:rFonts w:ascii="Times New Roman" w:hAnsi="Times New Roman" w:cs="Times New Roman"/>
          <w:color w:val="000000"/>
        </w:rPr>
        <w:t>, the petitioner would have made out one of the conditions for relief under section 211,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he had the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, because of the discriminatory manner in which the petitioner had been treated.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dwindling nature of the company’s assets would have exposed the petitioner to the risk of financial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injury and on a balance, an interlocutory injunction would have been granted.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injunction was dismissed. Application to stop advertisement was allowed. Each party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bear its own costs.</w:t>
      </w:r>
      <w:r w:rsidR="008C46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Australia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Meyer Douglas Pty Ltd </w:t>
      </w:r>
      <w:r>
        <w:rPr>
          <w:rFonts w:ascii="Times New Roman" w:hAnsi="Times New Roman" w:cs="Times New Roman"/>
          <w:color w:val="000000"/>
        </w:rPr>
        <w:t xml:space="preserve">[1965] VR 638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lastRenderedPageBreak/>
        <w:t>United Kingdom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HR Harmer Ltd </w:t>
      </w:r>
      <w:r>
        <w:rPr>
          <w:rFonts w:ascii="Times New Roman" w:hAnsi="Times New Roman" w:cs="Times New Roman"/>
          <w:color w:val="000000"/>
        </w:rPr>
        <w:t xml:space="preserve">[1958] 3 All ER 689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Jeryrn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Steet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Turkish Baths Ltd </w:t>
      </w:r>
      <w:r>
        <w:rPr>
          <w:rFonts w:ascii="Times New Roman" w:hAnsi="Times New Roman" w:cs="Times New Roman"/>
          <w:color w:val="000000"/>
        </w:rPr>
        <w:t xml:space="preserve">[1970] 3 All ER 57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F40B36" w:rsidRDefault="00F40B36" w:rsidP="00F40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Scott v Scott (London) Ltd </w:t>
      </w:r>
      <w:r>
        <w:rPr>
          <w:rFonts w:ascii="Times New Roman" w:hAnsi="Times New Roman" w:cs="Times New Roman"/>
          <w:color w:val="000000"/>
        </w:rPr>
        <w:t>[1940] 3 All ER 509</w:t>
      </w:r>
    </w:p>
    <w:p w:rsidR="00E97396" w:rsidRDefault="00F40B36" w:rsidP="00F40B36">
      <w:r>
        <w:rPr>
          <w:rFonts w:ascii="Times New Roman" w:hAnsi="Times New Roman" w:cs="Times New Roman"/>
          <w:b/>
          <w:bCs/>
          <w:color w:val="000000"/>
        </w:rPr>
        <w:t>Ruling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36"/>
    <w:rsid w:val="008C4681"/>
    <w:rsid w:val="00E97396"/>
    <w:rsid w:val="00F4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A2F06-D4ED-405A-ABB0-F832DA62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2018-07-03T13:57:00Z</dcterms:created>
  <dcterms:modified xsi:type="dcterms:W3CDTF">2018-07-13T13:53:00Z</dcterms:modified>
</cp:coreProperties>
</file>