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 Kahawa Sukari Ltd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Milimani Commercial Courts of Kenya at Nairobi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7 March 2003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23/02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Ringera J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OP Nagpal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M Kibanga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Companies Act – Member of a company – Who constitutes a member of a company – Section 211 –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Companies Act (Chapter 486).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Company law – Grant of letters of administration of estate of a deceased member – Failure of the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administrator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be registered as a member – Whether the administrator member by virtue of the grant.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Company law – Petitioner with grant of letters of administration </w:t>
      </w:r>
      <w:r>
        <w:rPr>
          <w:rFonts w:ascii="Times New Roman" w:hAnsi="Times New Roman" w:cs="Times New Roman"/>
          <w:color w:val="000000"/>
        </w:rPr>
        <w:t xml:space="preserve">ad colligenda bona </w:t>
      </w:r>
      <w:r>
        <w:rPr>
          <w:rFonts w:ascii="Times New Roman" w:hAnsi="Times New Roman" w:cs="Times New Roman"/>
          <w:i/>
          <w:iCs/>
          <w:color w:val="000000"/>
        </w:rPr>
        <w:t>in respect of the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estate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a deceased member – Whether the petitioner a member by virtue of the grant – Section 211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Companies Act (Chapter 486).</w:t>
      </w:r>
    </w:p>
    <w:p w:rsidR="00534889" w:rsidRDefault="006E79B7" w:rsidP="006E79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RINGERA J: </w:t>
      </w:r>
      <w:r>
        <w:rPr>
          <w:rFonts w:ascii="Times New Roman" w:hAnsi="Times New Roman" w:cs="Times New Roman"/>
          <w:color w:val="000000"/>
        </w:rPr>
        <w:t>Geoffrey Murihia Muigai, the petitioner herein, is the son of the late Paul Muigai.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Sometime in 1982, the late Paul Muigai together with three others, namely, Laban Muiruri Kimungu,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Edward Rurii Kanjabi, and Stephen Benson Mbugua incorporated a company called Kahawa Sukari</w:t>
      </w:r>
    </w:p>
    <w:p w:rsidR="00534889" w:rsidRDefault="00534889" w:rsidP="006E79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Limted (hereinafter called “the company”). The four were the only shareholders and directors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and they were all signatory to the company’s accounts. Each had a stake of 25% shareholding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company. The company acquired a property known as land registration number 10901/20 and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subdivided it into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3 479 plots for sale. The scheme is called Kahawa Sukari Estate. The main business of the company is to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sell those plots to willing buyers. The company is also said to own a subsidiary firm known as membley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is said to be the proprietor of another property known as land registration number 10901/46 which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also been subdivided into plots for sale. That ownership is disputed.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or about September 2000 Mr Laban Muiruri Kimungu died. His widow, Naomi Wambui Muiruri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subsequently admitted as a director of the company and made a signatory to the companies’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accounts. She was admitted a director on the representation that she had applied for a grant of letters of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administration to her husband’s estate. Indeed the resolution of the board of directors made on 13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February 2001 was that Mrs Muiruri as the intended administrator be admitted into the board with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to vote pending the issuance of and ratification by the grant of letters of administration.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on 10 March 2002, Paul Muigai died. His family requested the directors of the company to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 the petitioner to join the board of the company as a representative of the deceased. The family was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advised that it was necessary for a family member or several members to obtain letters of administration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estate of the deceased. The petitioner applied for and obtained a grant of administration </w:t>
      </w:r>
      <w:r>
        <w:rPr>
          <w:rFonts w:ascii="Times New Roman" w:hAnsi="Times New Roman" w:cs="Times New Roman"/>
          <w:i/>
          <w:iCs/>
          <w:color w:val="000000"/>
        </w:rPr>
        <w:t>ad</w:t>
      </w:r>
      <w:r w:rsidR="006E79B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colligenda bona</w:t>
      </w:r>
      <w:r>
        <w:rPr>
          <w:rFonts w:ascii="Times New Roman" w:hAnsi="Times New Roman" w:cs="Times New Roman"/>
          <w:color w:val="000000"/>
        </w:rPr>
        <w:t>. He notified the company of the fact. Despite that notification he was not admitted to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board or made a signatory to the company’s accounts or otherwise made a representative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deceased’s estate in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company. The petitioner also complains that even during the lifetime of his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father the directors of the company had refused to accept his father’s transfer of his shares in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to him.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Feeling frustrated by what he felt to be unfair and discriminatory treatment by the directors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company, Mr Geoffrey Murihia Muigai has filed a petition under the provisions of section 211 of the of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Companies Act seeking to be relieved of the oppression complained of therein. He seeks orders that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be made a director of the company and a signatory of its accounts, that he be availed records of sales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company from its inception to date. In the alternative that he be supplied with audited accounts and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injunction to restrain the directors from selling or entering into agreements for sale of any further plots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accounts of the company be frozen pending compliance with the other orders sought. After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lodging the petition on 17 September 2002, the petitioner took out a chamber summons on 18 September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2002 in which he sought interlocutory injunctive relief. That application was amended on 19 September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2002 and is the subject of the present ruling. The relief sought is expressed in the following terms: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The respondents be restrained; by an order of injunction, from selling, or offering for sale, or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otherwise disposing of, or attempting to dispose of (whether gratuitously or for consideration), any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 of the assets of Kahawa Sukari Limited, including but not limited to the unsold plots in Kahawa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Sukari Estate and membley housing scheme;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and the said respondents be also restrained, by an order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injunction, from accepting, and/or receiving any monies from any party as consideration for the sale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any of the said assets and the respondents be further restrained, by an order of injunction, from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executing any documents of transfer (or presenting or processing such documents for registration of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such transfers) pending the hearing and determination of the petition herein.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U nless with the express approval of and under the supervision of the Court, the respondents be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restrained from drawing any cheques, or withdrawing any monies from the Kahawa Sukari Limited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bank accounts, particularly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account number 0102010671400 at Standard Chartered Bank Limited, Kimathi Street Branch,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Nairobi, pending the hearing and determination of the petition herein”.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is said to be made on the grounds that: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(i) The respondents have despite request and after setting pre-conditions which have been satisfied by the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petitioner, refused, failed or neglected to avail the company’s record to the petitioner.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 respondents have also refused, failed or neglected to appoint the petitioner as a director of the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company, and to make him a signatory to the company’s accounts, thereby prejudicing the interest of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estate of the late Paul Muigai Wakabu in the company.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The respondents, acting in collusion, and to the exclusion of the said estate, have continued to deal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the company’s assets, and to conduct its business, to the detriment of the estate of the said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deceased.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company on its part filed an application on 1 October 2002 to restrain the petitioner from advertising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petition. Both applications were canvassed before me at considerable length by Mr </w:t>
      </w:r>
      <w:r>
        <w:rPr>
          <w:rFonts w:ascii="Times New Roman" w:hAnsi="Times New Roman" w:cs="Times New Roman"/>
          <w:i/>
          <w:iCs/>
          <w:color w:val="000000"/>
        </w:rPr>
        <w:t xml:space="preserve">Kimani </w:t>
      </w:r>
      <w:r>
        <w:rPr>
          <w:rFonts w:ascii="Times New Roman" w:hAnsi="Times New Roman" w:cs="Times New Roman"/>
          <w:color w:val="000000"/>
        </w:rPr>
        <w:t>Muhoro,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the petitioner and Mr OP </w:t>
      </w:r>
      <w:r>
        <w:rPr>
          <w:rFonts w:ascii="Times New Roman" w:hAnsi="Times New Roman" w:cs="Times New Roman"/>
          <w:i/>
          <w:iCs/>
          <w:color w:val="000000"/>
        </w:rPr>
        <w:t>Nagpal</w:t>
      </w:r>
      <w:r>
        <w:rPr>
          <w:rFonts w:ascii="Times New Roman" w:hAnsi="Times New Roman" w:cs="Times New Roman"/>
          <w:color w:val="000000"/>
        </w:rPr>
        <w:t>, counsel for the company, on 7 November 2002,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17 December 2002, 16 January 2003, 29 January 2003 and 13 February 2003. From the nature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arguments made, the principal issues for determination are first, whether or not the petitioner has </w:t>
      </w:r>
      <w:r>
        <w:rPr>
          <w:rFonts w:ascii="Times New Roman" w:hAnsi="Times New Roman" w:cs="Times New Roman"/>
          <w:i/>
          <w:iCs/>
          <w:color w:val="000000"/>
        </w:rPr>
        <w:t>locus</w:t>
      </w:r>
      <w:r w:rsidR="006E79B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standi </w:t>
      </w:r>
      <w:r>
        <w:rPr>
          <w:rFonts w:ascii="Times New Roman" w:hAnsi="Times New Roman" w:cs="Times New Roman"/>
          <w:color w:val="000000"/>
        </w:rPr>
        <w:t xml:space="preserve">to file the petition and consequently to seek injunctive relief, and, secondly, if he has </w:t>
      </w:r>
      <w:r>
        <w:rPr>
          <w:rFonts w:ascii="Times New Roman" w:hAnsi="Times New Roman" w:cs="Times New Roman"/>
          <w:i/>
          <w:iCs/>
          <w:color w:val="000000"/>
        </w:rPr>
        <w:t>locus standi</w:t>
      </w:r>
      <w:r>
        <w:rPr>
          <w:rFonts w:ascii="Times New Roman" w:hAnsi="Times New Roman" w:cs="Times New Roman"/>
          <w:color w:val="000000"/>
        </w:rPr>
        <w:t>,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or not he has established a case for injunction on the usual principles. I think I should first deal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the issue of </w:t>
      </w:r>
      <w:r>
        <w:rPr>
          <w:rFonts w:ascii="Times New Roman" w:hAnsi="Times New Roman" w:cs="Times New Roman"/>
          <w:i/>
          <w:iCs/>
          <w:color w:val="000000"/>
        </w:rPr>
        <w:t>locus standi</w:t>
      </w:r>
      <w:r>
        <w:rPr>
          <w:rFonts w:ascii="Times New Roman" w:hAnsi="Times New Roman" w:cs="Times New Roman"/>
          <w:color w:val="000000"/>
        </w:rPr>
        <w:t>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211(1) and (2) of the Companies Act (hereinafter called “the Act”) provides as follows: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“211 (1) Any member of a company who complains that the affairs of the, company are being conducted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a manner oppressive to some part of the members (including himself) or, in a case falling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within subsection (2) of section 170, the Attorney-General, may make an application to the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by petition for an order under this section.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( 2) I f on a such petition the Court is of opinion: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 hat the company’s affairs are being conducted as aforesaid; and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 hat to wind up the company would unfairly prejudice that, part of the members, but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otherwise the facts would justify the making of a winding-up order on the ground that it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just and equitable that the company should be wound up’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may, with a view to bringing to an end the matters complained of, make such order as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thinks fit, whether for regulating the conduct of the company’s affairs in future, or for the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purchase of the shares of any members of the company by other members of the company or by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company and, in the case of a purchase by the company, for the reduction according to the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company’s capital, or otherwise”.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was common ground that only a member of a company can petition for relief under section 211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Act. The dispute was as to whether the petitioner herein was a member of the company. The petitioner’s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argument in summary form was to this effect. He had at the time he filed the petition a grant </w:t>
      </w:r>
      <w:r>
        <w:rPr>
          <w:rFonts w:ascii="Times New Roman" w:hAnsi="Times New Roman" w:cs="Times New Roman"/>
          <w:i/>
          <w:iCs/>
          <w:color w:val="000000"/>
        </w:rPr>
        <w:t>ad</w:t>
      </w:r>
      <w:r w:rsidR="006E79B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colliqenda bona </w:t>
      </w:r>
      <w:r>
        <w:rPr>
          <w:rFonts w:ascii="Times New Roman" w:hAnsi="Times New Roman" w:cs="Times New Roman"/>
          <w:color w:val="000000"/>
        </w:rPr>
        <w:t>in terms of section 67(1) of the Law of Succession Act (Chapter 160). That grant made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a personal representative of the estate of the deceased. According to article 29 of table A, (which is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the company’s articles as it was not expressly excluded) in the case of the death of a member who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sole holder of a shares(s) his personal representative shall be the only person recognised by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company as having any title to his interest in the share. And in the English case of </w:t>
      </w:r>
      <w:r>
        <w:rPr>
          <w:rFonts w:ascii="Times New Roman" w:hAnsi="Times New Roman" w:cs="Times New Roman"/>
          <w:i/>
          <w:iCs/>
          <w:color w:val="000000"/>
        </w:rPr>
        <w:t>Re Jeryrn Steet</w:t>
      </w:r>
      <w:r w:rsidR="006E79B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Turkish Baths Ltd </w:t>
      </w:r>
      <w:r>
        <w:rPr>
          <w:rFonts w:ascii="Times New Roman" w:hAnsi="Times New Roman" w:cs="Times New Roman"/>
          <w:color w:val="000000"/>
        </w:rPr>
        <w:t>[1970] 3 All ER 57 it was held that personal representatives of a deceased member of a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must be regarded as members of the company for the purposes of section 210 of the Companies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of 1948. That provision is identical to section 211 of the Kenya Companies Act.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company’s argument as I understood it was this. The grant obtained by the petitioner was invalid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it did not indicate the purpose for which it had been issued and accordingly it did not confer any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on the petitioner. Furthermore, the same had expired before the petition was lodged. In any case,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even if it was a valid limited grant of letters of ‘administration </w:t>
      </w:r>
      <w:r>
        <w:rPr>
          <w:rFonts w:ascii="Times New Roman" w:hAnsi="Times New Roman" w:cs="Times New Roman"/>
          <w:i/>
          <w:iCs/>
          <w:color w:val="000000"/>
        </w:rPr>
        <w:t xml:space="preserve">ad colligenda bona </w:t>
      </w:r>
      <w:r>
        <w:rPr>
          <w:rFonts w:ascii="Times New Roman" w:hAnsi="Times New Roman" w:cs="Times New Roman"/>
          <w:color w:val="000000"/>
        </w:rPr>
        <w:t>it did not make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petitioner a shareholder of the company and accordingly he could not complain of being oppressed as a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shareholder.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Re Jeryrn Steet Turkish Baths Ltd </w:t>
      </w:r>
      <w:r>
        <w:rPr>
          <w:rFonts w:ascii="Times New Roman" w:hAnsi="Times New Roman" w:cs="Times New Roman"/>
          <w:color w:val="000000"/>
        </w:rPr>
        <w:t>was distinguished on the basis that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companies’ articles in that case were different from the articles of the company herein. In particular it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pointed out that article 20 therein provided that the legal representative of a deceased member shall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recognised by the company as having title to the share whereas article 29 of table A herein stated that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 person would be recognised as having a title to the deceased’s interest in the share. I now turn to a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of these rival arguments.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grant issued to the petitioner was a limited grant of letters of administration </w:t>
      </w:r>
      <w:r>
        <w:rPr>
          <w:rFonts w:ascii="Times New Roman" w:hAnsi="Times New Roman" w:cs="Times New Roman"/>
          <w:i/>
          <w:iCs/>
          <w:color w:val="000000"/>
        </w:rPr>
        <w:t>ad colligenda bona</w:t>
      </w:r>
      <w:r w:rsidR="006E79B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section 67(1) of </w:t>
      </w:r>
      <w:r>
        <w:rPr>
          <w:rFonts w:ascii="Times New Roman" w:hAnsi="Times New Roman" w:cs="Times New Roman"/>
          <w:color w:val="000000"/>
        </w:rPr>
        <w:lastRenderedPageBreak/>
        <w:t>the Act. It was issued on 18 June 2002. It was expressed to be for a period of three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months. The usual words expressing the purpose for which it was issued, that is to say “collecting and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getting in and receiving the estate and doing such things as may be necessary for the preservation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and until further representation be granted” were cancelled out. It is that cancellation which counsel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company submits renders the grant invalid. Counsel for the petitioner on his part argued a grant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ad colligenda bona </w:t>
      </w:r>
      <w:r>
        <w:rPr>
          <w:rFonts w:ascii="Times New Roman" w:hAnsi="Times New Roman" w:cs="Times New Roman"/>
          <w:color w:val="000000"/>
        </w:rPr>
        <w:t>is just that. It is a limited grant issued for collecting and getting in and receiving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estate. He did not think that the cancellation of the words in question was material. For myself, I agree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submission of counsel for the company. The cancellation of the words in question, though a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permissible amendment of the form prescribed for such a grant by rule 36(2) of the probate and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administration rules by virtue of rule 70 had the effect of rendering the grant meaningless. It ceased to be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grant </w:t>
      </w:r>
      <w:r>
        <w:rPr>
          <w:rFonts w:ascii="Times New Roman" w:hAnsi="Times New Roman" w:cs="Times New Roman"/>
          <w:i/>
          <w:iCs/>
          <w:color w:val="000000"/>
        </w:rPr>
        <w:t xml:space="preserve">ad colligenda bona </w:t>
      </w:r>
      <w:r>
        <w:rPr>
          <w:rFonts w:ascii="Times New Roman" w:hAnsi="Times New Roman" w:cs="Times New Roman"/>
          <w:color w:val="000000"/>
        </w:rPr>
        <w:t>for collecting and getting in the estate. Having lost that character it became a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wholly meaningless and incurably defective instrument.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 although it was renewed at the time the petition was filed and subsequently thereafter,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renewal could not render it valid. It was invalid </w:t>
      </w:r>
      <w:r>
        <w:rPr>
          <w:rFonts w:ascii="Times New Roman" w:hAnsi="Times New Roman" w:cs="Times New Roman"/>
          <w:i/>
          <w:iCs/>
          <w:color w:val="000000"/>
        </w:rPr>
        <w:t>ab initio</w:t>
      </w:r>
      <w:r>
        <w:rPr>
          <w:rFonts w:ascii="Times New Roman" w:hAnsi="Times New Roman" w:cs="Times New Roman"/>
          <w:color w:val="000000"/>
        </w:rPr>
        <w:t xml:space="preserve">. In those premises, even if a limited grant </w:t>
      </w:r>
      <w:r>
        <w:rPr>
          <w:rFonts w:ascii="Times New Roman" w:hAnsi="Times New Roman" w:cs="Times New Roman"/>
          <w:i/>
          <w:iCs/>
          <w:color w:val="000000"/>
        </w:rPr>
        <w:t>ad</w:t>
      </w:r>
      <w:r w:rsidR="006E79B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colligenda bona </w:t>
      </w:r>
      <w:r>
        <w:rPr>
          <w:rFonts w:ascii="Times New Roman" w:hAnsi="Times New Roman" w:cs="Times New Roman"/>
          <w:color w:val="000000"/>
        </w:rPr>
        <w:t>made the petitioner the personal representative of the estate of the deceased, Paul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Muigai, and gave him a basis for being recognised as being entitled to the interest of the deceased in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shares in question, the grant that the petitioner obtained could do nothing of the sort as it was a defective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one. That conclusion completely destroys the foundation of the petitioner’s claim to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in this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Furthermore, even if the grant was a valid one, I am of the opinion that it would not have been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to constitute the petitioner a member of the company within the meaning of section 211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Companies Act for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following reasons. First a grant of letter of administration </w:t>
      </w:r>
      <w:r>
        <w:rPr>
          <w:rFonts w:ascii="Times New Roman" w:hAnsi="Times New Roman" w:cs="Times New Roman"/>
          <w:i/>
          <w:iCs/>
          <w:color w:val="000000"/>
        </w:rPr>
        <w:t xml:space="preserve">ad colligenda bona </w:t>
      </w:r>
      <w:r>
        <w:rPr>
          <w:rFonts w:ascii="Times New Roman" w:hAnsi="Times New Roman" w:cs="Times New Roman"/>
          <w:color w:val="000000"/>
        </w:rPr>
        <w:t>cannot in my opinion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 on the grantee the status of a personal representative of the deceased. Under section 2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Succession Act, a personal representative is defined as “the executor or administrator of a deceased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person. And administrator is in turn defined to mean a person to whom a grant of letters of administration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been made under the Act. To my mind, the grant of letters referred to can only be a full grant for a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limited grant </w:t>
      </w:r>
      <w:r>
        <w:rPr>
          <w:rFonts w:ascii="Times New Roman" w:hAnsi="Times New Roman" w:cs="Times New Roman"/>
          <w:i/>
          <w:iCs/>
          <w:color w:val="000000"/>
        </w:rPr>
        <w:t xml:space="preserve">ad colligenda bona </w:t>
      </w:r>
      <w:r>
        <w:rPr>
          <w:rFonts w:ascii="Times New Roman" w:hAnsi="Times New Roman" w:cs="Times New Roman"/>
          <w:color w:val="000000"/>
        </w:rPr>
        <w:t>cannot and does not confer on the grantee the right to administer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estate of the deceased and accordingly such a grantee cannot be the administrator of the deceased within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meaning of the law.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in my opinion, even the holder of a full grant of letters of administration, who is truly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personal representative of a deceased shareholder is not and cannot be treated as a member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company. Article 29 of table “A” makes him the person entitled to be recognised as having any title to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deceased’s interest in the shares. Such a person is not a member of the company? Section 211 does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define the expression. However, section 28 of the Act to which neither counsel drew my attention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provides: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“28 (1) The subscribers to the memorandum of a company shall be deemed to have agreed to become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members of the company, and on its registration shall be entered as members in its register of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members.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E very other person who agrees to become a member of a company, and whose name is entered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its register of members, shall be a member of the company”.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the above definition, it is apparent that a member of the company is such person as has been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entered in the company’s register of members. Accordingly a personal, representative of a deceased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member cannot </w:t>
      </w:r>
      <w:r>
        <w:rPr>
          <w:rFonts w:ascii="Times New Roman" w:hAnsi="Times New Roman" w:cs="Times New Roman"/>
          <w:i/>
          <w:iCs/>
          <w:color w:val="000000"/>
        </w:rPr>
        <w:t xml:space="preserve">ipso facto </w:t>
      </w:r>
      <w:r>
        <w:rPr>
          <w:rFonts w:ascii="Times New Roman" w:hAnsi="Times New Roman" w:cs="Times New Roman"/>
          <w:color w:val="000000"/>
        </w:rPr>
        <w:t>be regarded as a member of the company. He must first get his name into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register. Taking that view of the matter, I must respectfully decline to follow the </w:t>
      </w:r>
      <w:r>
        <w:rPr>
          <w:rFonts w:ascii="Times New Roman" w:hAnsi="Times New Roman" w:cs="Times New Roman"/>
          <w:i/>
          <w:iCs/>
          <w:color w:val="000000"/>
        </w:rPr>
        <w:t xml:space="preserve">dictaum </w:t>
      </w:r>
      <w:r>
        <w:rPr>
          <w:rFonts w:ascii="Times New Roman" w:hAnsi="Times New Roman" w:cs="Times New Roman"/>
          <w:color w:val="000000"/>
        </w:rPr>
        <w:t>the English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of </w:t>
      </w:r>
      <w:r>
        <w:rPr>
          <w:rFonts w:ascii="Times New Roman" w:hAnsi="Times New Roman" w:cs="Times New Roman"/>
          <w:i/>
          <w:iCs/>
          <w:color w:val="000000"/>
        </w:rPr>
        <w:t xml:space="preserve">Re Jeryrn Street Turkish Baths Ltd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to the effect that even if a personal representative of a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 member is not registered as a member of the company, he must be regarded as a member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for the purposes of section 210 of the English Companies Act of 1948 a diction which counsel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petitioner placed considerable reliance. In taking that position, I am a little fortified – if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fortification be necessary - by the fact that in the Australian case of </w:t>
      </w:r>
      <w:r>
        <w:rPr>
          <w:rFonts w:ascii="Times New Roman" w:hAnsi="Times New Roman" w:cs="Times New Roman"/>
          <w:i/>
          <w:iCs/>
          <w:color w:val="000000"/>
        </w:rPr>
        <w:t xml:space="preserve">Re Meyer Douglas Pty Ltd </w:t>
      </w:r>
      <w:r>
        <w:rPr>
          <w:rFonts w:ascii="Times New Roman" w:hAnsi="Times New Roman" w:cs="Times New Roman"/>
          <w:color w:val="000000"/>
        </w:rPr>
        <w:t>[1965]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VR 638, a decision contrary to the one taken by the English court was taken and that Professor Gower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seems to think that the Australian decision is more convincing. See </w:t>
      </w:r>
      <w:r>
        <w:rPr>
          <w:rFonts w:ascii="Times New Roman" w:hAnsi="Times New Roman" w:cs="Times New Roman"/>
          <w:i/>
          <w:iCs/>
          <w:color w:val="000000"/>
        </w:rPr>
        <w:t>Gower’s Principles of Modern</w:t>
      </w:r>
      <w:r w:rsidR="006E79B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Company Law </w:t>
      </w:r>
      <w:r>
        <w:rPr>
          <w:rFonts w:ascii="Times New Roman" w:hAnsi="Times New Roman" w:cs="Times New Roman"/>
          <w:color w:val="000000"/>
        </w:rPr>
        <w:t xml:space="preserve">(4 </w:t>
      </w:r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gramEnd"/>
      <w:r>
        <w:rPr>
          <w:rFonts w:ascii="Times New Roman" w:hAnsi="Times New Roman" w:cs="Times New Roman"/>
          <w:color w:val="000000"/>
        </w:rPr>
        <w:t>) at 668 note 84. Now, although the pertinent Australian law report is not available to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 and I cannot therefore know what rational path the Court trod in arriving at its decision, I take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comfort that I am not alone in not following the English decision. And for whatever it is worth let me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emphasis that I have not declined, to follow </w:t>
      </w:r>
      <w:r>
        <w:rPr>
          <w:rFonts w:ascii="Times New Roman" w:hAnsi="Times New Roman" w:cs="Times New Roman"/>
          <w:i/>
          <w:iCs/>
          <w:color w:val="000000"/>
        </w:rPr>
        <w:t xml:space="preserve">Re Jeryrn Street Turkish Baths Ltd </w:t>
      </w:r>
      <w:r>
        <w:rPr>
          <w:rFonts w:ascii="Times New Roman" w:hAnsi="Times New Roman" w:cs="Times New Roman"/>
          <w:color w:val="000000"/>
        </w:rPr>
        <w:t>on the basis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distinctions which counsel for the company sought to draw between it and the present case which I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thought were distinctions without a difference but on my understanding of the import of section 28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Kenya Companies Act. It will be recalled that </w:t>
      </w:r>
      <w:r>
        <w:rPr>
          <w:rFonts w:ascii="Times New Roman" w:hAnsi="Times New Roman" w:cs="Times New Roman"/>
          <w:color w:val="000000"/>
        </w:rPr>
        <w:lastRenderedPageBreak/>
        <w:t>counsel had sought to distinguish between the expressions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“title to the share” used in article 20 in that case and “title to the interest in the share” used in article 29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table A. The two phrases are in my opinion synonymous but the latter is a more elegant expression in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share is not a chattel to which one can have title but is strictly speaking a bundle of rights to which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shareholder has an interest.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upshot of my consideration of the issue of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is that the petitioner was not a member of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 at the institution of the petition and the purtenant application for interlocutory injunctive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relief and, accordingly, he had no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to institute the proceedings. On this ground alone his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founders.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arrived at the above firm conclusion, it is strictly not necessary to delve into the merits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application. However, seeing that counsel spent considerable time canvassing the matter, I think I should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deference to their efforts deliver myself, albeit shortly, on that aspect of this matter.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assumption that the petitioner is a member of the company, does he have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 probability of success at the trial? For one to get relief under section 211 of the Act, one must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 that: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(i)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affairs of the company are being conducted in a manner oppressive to some part of the members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(including himself).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The facts complained of would justify the making of a winding-up order on the ground that it would be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just and equitable that the company should be wound up; and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However, to wind up the company would unfairly prejudice that part of the members.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section is clearly intended to afford an alternative remedy to an oppressed minority. There was some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here as to whether the petitioner was a minority. I accept the submission on his behalf that he is a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minority. To have 25% shareholding in a company even though that is equal to the holding of each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members is to be clearly a minority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vis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vis </w:t>
      </w:r>
      <w:r>
        <w:rPr>
          <w:rFonts w:ascii="Times New Roman" w:hAnsi="Times New Roman" w:cs="Times New Roman"/>
          <w:color w:val="000000"/>
        </w:rPr>
        <w:t>the others combined. What determines whether one is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majority or a minority is the voting </w:t>
      </w:r>
      <w:proofErr w:type="gramStart"/>
      <w:r>
        <w:rPr>
          <w:rFonts w:ascii="Times New Roman" w:hAnsi="Times New Roman" w:cs="Times New Roman"/>
          <w:color w:val="000000"/>
        </w:rPr>
        <w:t>power.</w:t>
      </w:r>
      <w:proofErr w:type="gramEnd"/>
      <w:r>
        <w:rPr>
          <w:rFonts w:ascii="Times New Roman" w:hAnsi="Times New Roman" w:cs="Times New Roman"/>
          <w:color w:val="000000"/>
        </w:rPr>
        <w:t xml:space="preserve"> If ones voting power is less than the combined voting power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other shareholders, one is a minority. Have the affairs of the company been conducted in a manner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oppressive to him? In the leading English case of </w:t>
      </w:r>
      <w:r>
        <w:rPr>
          <w:rFonts w:ascii="Times New Roman" w:hAnsi="Times New Roman" w:cs="Times New Roman"/>
          <w:i/>
          <w:iCs/>
          <w:color w:val="000000"/>
        </w:rPr>
        <w:t xml:space="preserve">Re HR Harmer Ltd </w:t>
      </w:r>
      <w:r>
        <w:rPr>
          <w:rFonts w:ascii="Times New Roman" w:hAnsi="Times New Roman" w:cs="Times New Roman"/>
          <w:color w:val="000000"/>
        </w:rPr>
        <w:t>[1958] 3 All ER 689, it was held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within the context of section 210 of the English Companies Act of 1948, the words “oppressive”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meant “burdensome, harsh and wrongful” and that the oppressive conduct complained of must affect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complainant(s) in their capacity as members of the company. The complaint here is that the directors of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 refused to accept the transfer of the deceased’s shares to the petitioner during the lifetime of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deceased, they have since the death of the deceased member refused to allow the petitioner to join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board of the company, or to be signatory to the company accounts, or otherwise to represent the estate of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 in the company. It is also complained that the company’s affairs are being run with less than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probity and propriety in that tax and annual return are not being made, no accounts are being kept and no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audits have been done and there has been no accounting of any sort to the estate of the deceased. In so far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estate of the deceased is concerned, comparison is unfavourably drawn with the way the directors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treated the family of Laban Muiruri Kimungu upon his death. His widow was appointed a director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upon her mere representation that she had applied for a grant of administration to his estate and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even though in the event the grant she obtained was </w:t>
      </w:r>
      <w:r>
        <w:rPr>
          <w:rFonts w:ascii="Times New Roman" w:hAnsi="Times New Roman" w:cs="Times New Roman"/>
          <w:i/>
          <w:iCs/>
          <w:color w:val="000000"/>
        </w:rPr>
        <w:t xml:space="preserve">ad colligenda bona </w:t>
      </w:r>
      <w:r>
        <w:rPr>
          <w:rFonts w:ascii="Times New Roman" w:hAnsi="Times New Roman" w:cs="Times New Roman"/>
          <w:color w:val="000000"/>
        </w:rPr>
        <w:t>limited to payment of rates! She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also made a signatory to the company’s accounts. The petitioner contends that the treatment he has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subjected to is clearly discriminatory. The directors’ answer to the above complaints is this. In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of the refusal to accept the transfer of the deceased shares to the petitioner during the lifetime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deceased, they contend that it is the deceased himself who changed his mind and so notified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board orally at a meeting at which he presided. To that the petitioner responds that the minutes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show the deceased was asked to confirm his decision in writing but he never did so. As regards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refusal to admit the petitioner into the company or to appoint him a director and a signatory to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accounts, the directors maintain they are entitled to do so as long as the petitioner does not have a valid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full grant of letters of administration duly confirmed and the matter is in any case in their discretion and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have a veto power. In the premises the petitioner is not entitled as of right to be registered as a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shareholder let alone to be appointed a director. As regards non consultation with and non involvement of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estate of the deceased in the management of the companies’ affairs, they hold that they are not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obliged by law or the articles to accommodate the estate of the deceased in that regard. As regards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complaints of discrimination, they hold that they acted with propriety in admitting Mrs Muiruri to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board and making her a signatory to the accounts but even if they were wrong to do so, they are not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obliged to perpetuate their error by according the petitioner similar treatment. And of course they deny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want of probity and propriety in the management </w:t>
      </w:r>
      <w:r>
        <w:rPr>
          <w:rFonts w:ascii="Times New Roman" w:hAnsi="Times New Roman" w:cs="Times New Roman"/>
          <w:color w:val="000000"/>
        </w:rPr>
        <w:lastRenderedPageBreak/>
        <w:t>of the company’s affairs. To those answers,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petitioner has a reply. The articles of the company do not confer on the directors a veto to refuse to admit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personal representative of a deceased member as a shareholder of the company or to appoint him as a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director; exclusion from participation in the affairs of the company was a violation of an obligation so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basic that it would in itself justify the winding-up of the company; he is entitled to be treated in the same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manner as Mrs Muiruri and in fact his case is better than hers as he had complied with the company’s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request that he first obtain a grant of administration before seeking to be admitted to membership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company; and that if the company had been submitting annual statutory returns as well as tax returns and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it had been producing audited accounts, nothing would have been easier than to annex such documents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replying affidavits.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considered all the above arguments. In my opinion the refusal by the company to register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 transfer from Paul Muiruri to the petitioner during the lifetime of Mr Muiruri cannot be a basis of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relief under section 211 because it is not an act or omission which affected the petitioner as a member of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company. He could not as an unregistered transferee of his father’s shares be regarded as a member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company. And as regards the refusal to admit the petitioner into the company as a shareholder,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director, or signatory to the accounts, I agree with the submissions made on behalf of the company that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registration of any transfer of shares to any person other than an existing member and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appointment of a director are all matters in which the directors have according to the company’s articles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association a veto power. In that regard articles 7 and 8 of the company and articles 29 and 30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table A which have not been expressly excluded and are accordingly applicable are pertinent.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provide: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“7. The directors may, in their absolute discretion and without, assigning any reason thereon, decline to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register any transfer of a share (whether or not it is a fully paid share) to a person of whom they shall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approve, not being already a member of the company, and they may also decline to register the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transfer of a share on which the company has a lien.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8.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 ubject to the provisions of the last proceedings clause</w:t>
      </w:r>
      <w:r>
        <w:rPr>
          <w:rFonts w:ascii="Times New Roman" w:hAnsi="Times New Roman" w:cs="Times New Roman"/>
          <w:color w:val="000000"/>
          <w:sz w:val="20"/>
          <w:szCs w:val="20"/>
        </w:rPr>
        <w:t>, any share may be transferred by a member to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child, or other issue, son, son-in-law, daughter, daughter-in-law, father, mother, brother, sister,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nephew, niece, wife or husband of such member and any share of a deceased member may be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transferred by his executors or administrators to any child or other issue, son-in-law, daughter-in-law,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son, daughter, father, mother, brother, sister, nephew, niece, widow or widower of such deceased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member may specifically have bequeathed the same, any share standing in the name of the trustees of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will of the deceased member may be transferred upon any change of trustees to the trustees for the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being as such will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29. I n case of the death of a member the survivor or survivors where the deceased was a joint holder, and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personal representatives of the deceased where he was a sole holder, shall be the only person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recognised by the company as having any title, to his interest in the shares; but nothing herein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contained shall release the estate of a deceased joint holder from any liability in respect of any share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had been jointly held by him with other persons.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30. A ny person, becoming entitled to a share in consequence of the death or bankruptcy of a member may,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upon such evidence being produced as may from time to time properly be required by the directors and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subject as hereinafter provided, elect either to be registered himself as holder of the share or to have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some person nominated by him registered as the transferee thereof,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but the directors shall in either</w:t>
      </w:r>
      <w:r w:rsidR="006E79B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case, have the same right to decline or suspend registration as they would have had in the case of a</w:t>
      </w:r>
      <w:r w:rsidR="006E79B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transfer of the share by that member before his death </w:t>
      </w:r>
      <w:r>
        <w:rPr>
          <w:rFonts w:ascii="Times New Roman" w:hAnsi="Times New Roman" w:cs="Times New Roman"/>
          <w:color w:val="000000"/>
          <w:sz w:val="20"/>
          <w:szCs w:val="20"/>
        </w:rPr>
        <w:t>or bankruptcy, as the case may be.”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added)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petitioner relied on the proviso to article 32 of table A to contend that the directors had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veto power to decline to register a personal representative as a shareholder. Article 32 provides: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“32 A person becoming entitled to a share by reason of the death or bankruptcy of the holder shall be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entitled to the same dividends and other advantages to which he would be entitled if he were the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registered holder of the share except that he shall not, before being registered as a member in respect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share, be entitled in respect of it to exercise any right conferred by membership in relation to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meetings of the company.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always that the directors may at any time give notice requiring any such person to elect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either to be registered himself or to transfer the share, and if the notice is not complied with within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three months the directors may thereafter withhold payment of all dividends, bonuses or other moneys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payable in respect of the share until the requirements of the notices have been complied with”.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plain to me that this article is concerned with the payment of dividends. It is not the article that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governs the transfer of shares. The latter is governed by the preceding Articles 29 and 30 as read together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Articles 7 and 8. In that regard the wording of Article 7 expressly confers a veto power. And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transfer of shares whether </w:t>
      </w:r>
      <w:r>
        <w:rPr>
          <w:rFonts w:ascii="Times New Roman" w:hAnsi="Times New Roman" w:cs="Times New Roman"/>
          <w:i/>
          <w:iCs/>
          <w:color w:val="000000"/>
        </w:rPr>
        <w:t xml:space="preserve">inter vivos </w:t>
      </w:r>
      <w:r>
        <w:rPr>
          <w:rFonts w:ascii="Times New Roman" w:hAnsi="Times New Roman" w:cs="Times New Roman"/>
          <w:color w:val="000000"/>
        </w:rPr>
        <w:t>or on the death of a member are by dint of the opening words of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8 expressly subjected to such veto power. Article 30 is to the same effect the transmission of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shares on death of a member is subject to the same limitations as apply during the life time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member. I am accordingly unable to accept the submission that the directors do not have a veto power. In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Scott </w:t>
      </w: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v Scott (London) Ltd </w:t>
      </w:r>
      <w:r>
        <w:rPr>
          <w:rFonts w:ascii="Times New Roman" w:hAnsi="Times New Roman" w:cs="Times New Roman"/>
          <w:color w:val="000000"/>
        </w:rPr>
        <w:t>[1940] 3 All ER 509. It is held that: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“On general principles where the executrix has the legal right to the shares on which the deceased testator was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registered holder, in the absence of any power of veto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conferred on the company by its articles of association, she is entitled to have her name entered on the register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if she so desires as ancillary to her legal title to the shares in question”.</w:t>
      </w:r>
      <w:r w:rsidR="006E79B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That shows the primacy of the articles. And that is as it should be for the articles constitute the contract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between members of the company </w:t>
      </w:r>
      <w:r>
        <w:rPr>
          <w:rFonts w:ascii="Times New Roman" w:hAnsi="Times New Roman" w:cs="Times New Roman"/>
          <w:i/>
          <w:iCs/>
          <w:color w:val="000000"/>
        </w:rPr>
        <w:t xml:space="preserve">inter se </w:t>
      </w:r>
      <w:r>
        <w:rPr>
          <w:rFonts w:ascii="Times New Roman" w:hAnsi="Times New Roman" w:cs="Times New Roman"/>
          <w:color w:val="000000"/>
        </w:rPr>
        <w:t>and between them and the company itself. Having taken that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view of the matter can it be said that the </w:t>
      </w:r>
      <w:proofErr w:type="gramStart"/>
      <w:r>
        <w:rPr>
          <w:rFonts w:ascii="Times New Roman" w:hAnsi="Times New Roman" w:cs="Times New Roman"/>
          <w:color w:val="000000"/>
        </w:rPr>
        <w:t>directors</w:t>
      </w:r>
      <w:proofErr w:type="gramEnd"/>
      <w:r>
        <w:rPr>
          <w:rFonts w:ascii="Times New Roman" w:hAnsi="Times New Roman" w:cs="Times New Roman"/>
          <w:color w:val="000000"/>
        </w:rPr>
        <w:t xml:space="preserve"> conduct is oppressive to the petitioner? I am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 that the refusal by the directors to register the petitioner as a shareholder being a matter within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discretion of the directors and indeed a matter on which they have veto power cannot on its own be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to be oppressive conduct and particularly so where, as here, the directors have not flatly refused to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so but have insisted on the applicant obtaining a full grant of letters of administration to the estate of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 member. As regards the refusal to admit the petitioner as a director and signatory to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account, again I can see nothing in the articles conferring on a personal representative to a deceased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such a right. So no right of the petitioner has been violated. On the contrary Article 12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contemplates that as long as there are at least two directors all would be well with the company. So no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of the petitioner has been violated. How about the treatment of the petitioner compared to that of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Mrs Muiruri? I think there is no way the directors can explain and they have not explained to my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satisfaction their preferential treatment of Mrs Muiruri. She had no better right than the petitioner to be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admitted as a shareholder, a director and a signatory to the accounts of the company. I agree with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made on behalf of the petitioner that looking at the history of this company it cannot but be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viewed as a quasi-partnership where it was desirable to have a representation of each of the original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subscribers or their personal representatives and where mutual respect and confidence were given a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premium. I believe it is those considerations which led to the rapid absorption of Mrs Muiruri into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soon after the demise of her husband. That was quite proper. The same considerations lead to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conclusion that the petitioner should have been accorded similar treatment. In my opinion,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directors</w:t>
      </w:r>
      <w:proofErr w:type="gramEnd"/>
      <w:r>
        <w:rPr>
          <w:rFonts w:ascii="Times New Roman" w:hAnsi="Times New Roman" w:cs="Times New Roman"/>
          <w:color w:val="000000"/>
        </w:rPr>
        <w:t xml:space="preserve"> treatment of the petitioner is tantamount to saying this: “although we did not use our discretion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veto against Mrs Muiruri, we are perfectly entitled to do so against you”. To that I can only say that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whereas the </w:t>
      </w:r>
      <w:proofErr w:type="gramStart"/>
      <w:r>
        <w:rPr>
          <w:rFonts w:ascii="Times New Roman" w:hAnsi="Times New Roman" w:cs="Times New Roman"/>
          <w:color w:val="000000"/>
        </w:rPr>
        <w:t>directors</w:t>
      </w:r>
      <w:proofErr w:type="gramEnd"/>
      <w:r>
        <w:rPr>
          <w:rFonts w:ascii="Times New Roman" w:hAnsi="Times New Roman" w:cs="Times New Roman"/>
          <w:color w:val="000000"/>
        </w:rPr>
        <w:t xml:space="preserve"> legal right to do so is possibly unassailable, their conduct is manifestly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discriminatory against the petitioner. Discrimination is not conduct merely devoid of legal basis. It is to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afford different persons different treatment on the same facts. As the English say, what is sauce for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goose must be sauce for the </w:t>
      </w:r>
      <w:proofErr w:type="gramStart"/>
      <w:r>
        <w:rPr>
          <w:rFonts w:ascii="Times New Roman" w:hAnsi="Times New Roman" w:cs="Times New Roman"/>
          <w:color w:val="000000"/>
        </w:rPr>
        <w:t>gander.</w:t>
      </w:r>
      <w:proofErr w:type="gramEnd"/>
      <w:r>
        <w:rPr>
          <w:rFonts w:ascii="Times New Roman" w:hAnsi="Times New Roman" w:cs="Times New Roman"/>
          <w:color w:val="000000"/>
        </w:rPr>
        <w:t xml:space="preserve"> To treat the petitioner as Mrs Muiruri was treated is not to perpetuate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error but to accord two successors of deceased member’s equal treatment. The discrimination with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petitioner has been visited is, I further venture to suggest, harsh and wrongful conduct which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qualifies as oppression within the meaning of section 211. As regards the management of the company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want of probity and propriety, I agree with the submissions of the petitioner that if indeed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had been filing annual returns or making regular tax returns or keeping audited books of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accounts nothing would have been easier than to show copies thereof. In the premises, I think that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complaint about want of probity and propriety on the part of the directors is, on balance, made out.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although such a consideration may be sufficient to wind up the company on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that it may be just and equitable to do so, I cannot regard it as oppression of the petitioner’s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as the entire membership of the company and not just one member or a part of the members only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affected.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summarise my consideration of the matter so far, I am of the opinion that the petitioner has </w:t>
      </w:r>
      <w:r>
        <w:rPr>
          <w:rFonts w:ascii="Times New Roman" w:hAnsi="Times New Roman" w:cs="Times New Roman"/>
          <w:i/>
          <w:iCs/>
          <w:color w:val="000000"/>
        </w:rPr>
        <w:t>prima</w:t>
      </w:r>
      <w:r w:rsidR="006E79B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facie </w:t>
      </w:r>
      <w:r>
        <w:rPr>
          <w:rFonts w:ascii="Times New Roman" w:hAnsi="Times New Roman" w:cs="Times New Roman"/>
          <w:color w:val="000000"/>
        </w:rPr>
        <w:t>made out one of the conditions for relief under section 211, namely that the affairs of the company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conducted in a manner oppressive to him as a result of the discrimination to which he has been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subjected. Would the facts proved justify the making of a winding-up order on the just and equitable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grounds? I am of the tentative view that the facts of the discrimination and the want of probity and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propriety in running the affairs of the company would justify the making of a winding-up order against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 on that ground in a winding-up petition. How would such an order impact on the petitioner?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 it would unfairly prejudice him. A winding-up of the sort of company here under consideration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be in the best interest of any member including the petitioner. In short, I think the petitioners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have had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 xml:space="preserve">case with a probability of success at the trial if the issue of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had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settled in his favour. In those circumstances I would have found that he had surmounted the first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important hurdle in his quest for interlocutory injunctive relief. And I would have gone </w:t>
      </w:r>
      <w:r>
        <w:rPr>
          <w:rFonts w:ascii="Times New Roman" w:hAnsi="Times New Roman" w:cs="Times New Roman"/>
          <w:color w:val="000000"/>
        </w:rPr>
        <w:lastRenderedPageBreak/>
        <w:t>further to find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in all the circumstances the petitioner was exposed to a risk of injury which could not have been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adequately compensated in damages given the dwindling nature of the asset base of the company and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that want of probity in terms of accounting made it difficult to contemplate that an award of damages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be a writ written on water. In those premises, I would have been favourably inclined to grant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interlocutory injunctive relief to the applicant.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conclusion let me state this. Although I think the petitioner has on the whole a good case for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interlocutory injunctive relief on the merits, I am compelled to dismiss his application on the basis that 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has no </w:t>
      </w:r>
      <w:r>
        <w:rPr>
          <w:rFonts w:ascii="Times New Roman" w:hAnsi="Times New Roman" w:cs="Times New Roman"/>
          <w:i/>
          <w:iCs/>
          <w:color w:val="000000"/>
        </w:rPr>
        <w:t>locus standi</w:t>
      </w:r>
      <w:r>
        <w:rPr>
          <w:rFonts w:ascii="Times New Roman" w:hAnsi="Times New Roman" w:cs="Times New Roman"/>
          <w:color w:val="000000"/>
        </w:rPr>
        <w:t>. In those circumstances and particularly considering my finding that the petitioner has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a victim of discrimination I think I am entitled to depart from the usual rule that costs follow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event. I order that each party bears its own costs of the application for injunction. As regards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company’s application to restrain the advertisement of the petition, the same must succeed in view of my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finding that the petitioner had no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to institute the petition. There will accordingly be an order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petitioner be restrained from by himself or by his servants and/or agents from advertising or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causing to be advertised the petition for winding-up the company in the Kenya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or elsewhere or to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 any further proceedings upon the said petition until further orders of the Court. And again I would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that each party bears its own costs of that application.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Last but not least let me say this aside. While I accept the powerful submission by Mr </w:t>
      </w:r>
      <w:r>
        <w:rPr>
          <w:rFonts w:ascii="Times New Roman" w:hAnsi="Times New Roman" w:cs="Times New Roman"/>
          <w:i/>
          <w:iCs/>
          <w:color w:val="000000"/>
        </w:rPr>
        <w:t>Nagpal</w:t>
      </w:r>
      <w:r>
        <w:rPr>
          <w:rFonts w:ascii="Times New Roman" w:hAnsi="Times New Roman" w:cs="Times New Roman"/>
          <w:color w:val="000000"/>
        </w:rPr>
        <w:t>,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company, that a company is not to be managed on the basis of exhortations of mourners at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funeral and while I recognise that Mr </w:t>
      </w:r>
      <w:r>
        <w:rPr>
          <w:rFonts w:ascii="Times New Roman" w:hAnsi="Times New Roman" w:cs="Times New Roman"/>
          <w:i/>
          <w:iCs/>
          <w:color w:val="000000"/>
        </w:rPr>
        <w:t>Kimani</w:t>
      </w:r>
      <w:r>
        <w:rPr>
          <w:rFonts w:ascii="Times New Roman" w:hAnsi="Times New Roman" w:cs="Times New Roman"/>
          <w:color w:val="000000"/>
        </w:rPr>
        <w:t>, counsel for the petitioner, has, obviously on his client’s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instructions said some rather unsavoury things about the directors of the company, I nonetheless express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hope that the company which was managed by the four founder members as directors and signatories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accounts will in the very near future take such steps as will allow the petitioner, a son of one of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founder members to occupy his late fathers place in the board and in the management of the company. In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connection, I do hope that the petitioner, too, on his part will facilitate such action by obtaining a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valid grant of letters of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administration to the estate of his late father. I do hope that the directors will be gentlemen who can rise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 any abuse that has been hurled their way and honour the wishes of their departed colleague and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chairman. Until that happy day I am constrained to reiterate that the orders of this Court are that the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by the petitioner filed on 18 September 2002 is dismissed and the company’s application filed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court on 1 October 2002 succeed to the extent indicated hereinabove and that each party will bear their</w:t>
      </w:r>
      <w:r w:rsidR="006E79B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 costs of the two applications.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Orders accordingly.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petitioner: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Mr Kimani Muhoro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Kimani Muhoro &amp; Co</w:t>
      </w:r>
    </w:p>
    <w:p w:rsidR="00534889" w:rsidRDefault="00534889" w:rsidP="00534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97396" w:rsidRDefault="00534889" w:rsidP="00534889">
      <w:r>
        <w:rPr>
          <w:rFonts w:ascii="Times New Roman" w:hAnsi="Times New Roman" w:cs="Times New Roman"/>
          <w:i/>
          <w:iCs/>
          <w:color w:val="000000"/>
        </w:rPr>
        <w:t xml:space="preserve">Mr OP Nagpal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OP Nagpal &amp; Co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89"/>
    <w:rsid w:val="00534889"/>
    <w:rsid w:val="006E79B7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FB8EA-8AFE-4D2E-B0A0-4C4297A0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5352</Words>
  <Characters>30509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2018-07-03T13:58:00Z</dcterms:created>
  <dcterms:modified xsi:type="dcterms:W3CDTF">2018-07-13T13:55:00Z</dcterms:modified>
</cp:coreProperties>
</file>