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 Kenya National Federation of Co-operatives Ltd and others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 March 2005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1621/04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Ibrahim J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N </w:t>
      </w:r>
      <w:proofErr w:type="spellStart"/>
      <w:r>
        <w:rPr>
          <w:rFonts w:ascii="Times New Roman" w:hAnsi="Times New Roman" w:cs="Times New Roman"/>
          <w:color w:val="000000"/>
        </w:rPr>
        <w:t>Regeru</w:t>
      </w:r>
      <w:proofErr w:type="spellEnd"/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Application for leave to apply for judicial review – Applicant not making a full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disclosure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facts – Whether applicant under duty to make full material disclosure of facts to court.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Judicial review – Application for leave to apply for judicial review – Leave and stay granted –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Application made to set aside the stay and for dismissal of application for leave – Affidavit supporting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application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sworn by a director without a resolution of the board of directors – Whether affidavit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admissible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83CEC" w:rsidRDefault="00BF498A" w:rsidP="00883C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Kenya National Federation of Co-operatives Limited (KNFC) filed an application seeking leave to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for judicial review to squash the decision of the Communication Commission of Kenya (CCK)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has granted a global service mobile (GSM)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to accompany called </w:t>
      </w:r>
      <w:proofErr w:type="spellStart"/>
      <w:r>
        <w:rPr>
          <w:rFonts w:ascii="Times New Roman" w:hAnsi="Times New Roman" w:cs="Times New Roman"/>
          <w:color w:val="000000"/>
        </w:rPr>
        <w:t>Econet</w:t>
      </w:r>
      <w:proofErr w:type="spellEnd"/>
      <w:r>
        <w:rPr>
          <w:rFonts w:ascii="Times New Roman" w:hAnsi="Times New Roman" w:cs="Times New Roman"/>
          <w:color w:val="000000"/>
        </w:rPr>
        <w:t xml:space="preserve"> Wireless Kenya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Limited (EWK). KNFC also sought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compelling CCK to grant KNFC the GSM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license. The application for leave was granted and was to operate as a stay pending the hearing and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of the main application. It was ordered that EWK be made a party to the proceedings.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EWK was aggrieved by the granting of the leave to stay and filed an application for the Court to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discharge the stay under and dismiss the KNFC’S application. The grounds of the application were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883CE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alia </w:t>
      </w:r>
      <w:r>
        <w:rPr>
          <w:rFonts w:ascii="Times New Roman" w:hAnsi="Times New Roman" w:cs="Times New Roman"/>
          <w:color w:val="000000"/>
        </w:rPr>
        <w:t xml:space="preserve">that KNFC had not made material disclosure in its application of 26 November 2004. </w:t>
      </w:r>
      <w:proofErr w:type="spellStart"/>
      <w:r>
        <w:rPr>
          <w:rFonts w:ascii="Times New Roman" w:hAnsi="Times New Roman" w:cs="Times New Roman"/>
          <w:color w:val="000000"/>
        </w:rPr>
        <w:t>Rapsel</w:t>
      </w:r>
      <w:proofErr w:type="spellEnd"/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Limited, a member of EKW, opposed the application on the ground that one Zachary </w:t>
      </w:r>
      <w:proofErr w:type="spellStart"/>
      <w:r>
        <w:rPr>
          <w:rFonts w:ascii="Times New Roman" w:hAnsi="Times New Roman" w:cs="Times New Roman"/>
          <w:color w:val="000000"/>
        </w:rPr>
        <w:t>Wazara</w:t>
      </w:r>
      <w:proofErr w:type="spellEnd"/>
      <w:r>
        <w:rPr>
          <w:rFonts w:ascii="Times New Roman" w:hAnsi="Times New Roman" w:cs="Times New Roman"/>
          <w:color w:val="000000"/>
        </w:rPr>
        <w:t xml:space="preserve"> who had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sworn to the affidavit on behalf of EWK was not authorised or competent to do so. The objection was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preliminary in nature. The objection was opposed on the ground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Wazara</w:t>
      </w:r>
      <w:proofErr w:type="spellEnd"/>
      <w:r>
        <w:rPr>
          <w:rFonts w:ascii="Times New Roman" w:hAnsi="Times New Roman" w:cs="Times New Roman"/>
          <w:color w:val="000000"/>
        </w:rPr>
        <w:t xml:space="preserve"> was presumed, as the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director, to have authority to swear to the affidavit. It was argued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Wazara’s</w:t>
      </w:r>
      <w:proofErr w:type="spellEnd"/>
      <w:r>
        <w:rPr>
          <w:rFonts w:ascii="Times New Roman" w:hAnsi="Times New Roman" w:cs="Times New Roman"/>
          <w:color w:val="000000"/>
        </w:rPr>
        <w:t xml:space="preserve"> interest in EWK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conflicted with those of the other shareholders.</w:t>
      </w:r>
      <w:r w:rsidR="00883CEC">
        <w:rPr>
          <w:rFonts w:ascii="Times New Roman" w:hAnsi="Times New Roman" w:cs="Times New Roman"/>
          <w:color w:val="000000"/>
        </w:rPr>
        <w:t xml:space="preserve"> </w:t>
      </w:r>
    </w:p>
    <w:p w:rsidR="00BF498A" w:rsidRDefault="00BF498A" w:rsidP="00883C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issue of directorship was contended by both sides and raised facts which required evidence to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determined by the Court. It was not a pure point of law.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action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Wazara</w:t>
      </w:r>
      <w:proofErr w:type="spellEnd"/>
      <w:r>
        <w:rPr>
          <w:rFonts w:ascii="Times New Roman" w:hAnsi="Times New Roman" w:cs="Times New Roman"/>
          <w:color w:val="000000"/>
        </w:rPr>
        <w:t xml:space="preserve"> to instruct counsel and to swear to an affidavit was done </w:t>
      </w:r>
      <w:r>
        <w:rPr>
          <w:rFonts w:ascii="Times New Roman" w:hAnsi="Times New Roman" w:cs="Times New Roman"/>
          <w:i/>
          <w:iCs/>
          <w:color w:val="000000"/>
        </w:rPr>
        <w:t xml:space="preserve">bona fide </w:t>
      </w:r>
      <w:r>
        <w:rPr>
          <w:rFonts w:ascii="Times New Roman" w:hAnsi="Times New Roman" w:cs="Times New Roman"/>
          <w:color w:val="000000"/>
        </w:rPr>
        <w:t>to protect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company’s asset, namely the GSM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and there was no suggestion that action was done </w:t>
      </w:r>
      <w:r>
        <w:rPr>
          <w:rFonts w:ascii="Times New Roman" w:hAnsi="Times New Roman" w:cs="Times New Roman"/>
          <w:i/>
          <w:iCs/>
          <w:color w:val="000000"/>
        </w:rPr>
        <w:t>ultra</w:t>
      </w:r>
      <w:r w:rsidR="00883CE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vires. </w:t>
      </w:r>
      <w:r>
        <w:rPr>
          <w:rFonts w:ascii="Times New Roman" w:hAnsi="Times New Roman" w:cs="Times New Roman"/>
          <w:color w:val="000000"/>
        </w:rPr>
        <w:t xml:space="preserve">The act was capable of ratification by the board of directors;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Banford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Banford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[1969] All ER 969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adopted.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objection raised on the basis of there being conflict between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Wazara’s</w:t>
      </w:r>
      <w:proofErr w:type="spellEnd"/>
      <w:r>
        <w:rPr>
          <w:rFonts w:ascii="Times New Roman" w:hAnsi="Times New Roman" w:cs="Times New Roman"/>
          <w:color w:val="000000"/>
        </w:rPr>
        <w:t xml:space="preserve"> interest and those of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shareholders was again one of fact. The Court had no jurisdiction to deal with any internal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conflicts under Order LIII.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EWK was an interested party or a secondary respondent it had sufficient interest in the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matter, the </w:t>
      </w:r>
      <w:proofErr w:type="spellStart"/>
      <w:r>
        <w:rPr>
          <w:rFonts w:ascii="Times New Roman" w:hAnsi="Times New Roman" w:cs="Times New Roman"/>
          <w:color w:val="000000"/>
        </w:rPr>
        <w:t>licence</w:t>
      </w:r>
      <w:proofErr w:type="spellEnd"/>
      <w:r>
        <w:rPr>
          <w:rFonts w:ascii="Times New Roman" w:hAnsi="Times New Roman" w:cs="Times New Roman"/>
          <w:color w:val="000000"/>
        </w:rPr>
        <w:t xml:space="preserve"> being its asset, to bring the application. The non-disclosure of material facts by KNFC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application for leave was deliberate and calculated and had the said facts been disclosed the Court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might have reached a different conclusion.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rule of the Court requiring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uberimae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fides </w:t>
      </w:r>
      <w:r>
        <w:rPr>
          <w:rFonts w:ascii="Times New Roman" w:hAnsi="Times New Roman" w:cs="Times New Roman"/>
          <w:color w:val="000000"/>
        </w:rPr>
        <w:t xml:space="preserve">on the part of an applicant for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injunction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applies equally to the case of an application for a writ of prohibition</w:t>
      </w:r>
      <w:r>
        <w:rPr>
          <w:rFonts w:ascii="Times New Roman" w:hAnsi="Times New Roman" w:cs="Times New Roman"/>
          <w:i/>
          <w:iCs/>
          <w:color w:val="000000"/>
        </w:rPr>
        <w:t>, King v General Commissioners for</w:t>
      </w:r>
      <w:r w:rsidR="00883CE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Purposes of the Income Tax Acts for the District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Kesisington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[1917] 1 KB 48; </w:t>
      </w:r>
      <w:r>
        <w:rPr>
          <w:rFonts w:ascii="Times New Roman" w:hAnsi="Times New Roman" w:cs="Times New Roman"/>
          <w:i/>
          <w:iCs/>
          <w:color w:val="000000"/>
        </w:rPr>
        <w:t>R v Metropolitan Police</w:t>
      </w:r>
      <w:r w:rsidR="00883CE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Force Disciplinary Tribunal, ex parte Lawrence </w:t>
      </w:r>
      <w:r>
        <w:rPr>
          <w:rFonts w:ascii="Times New Roman" w:hAnsi="Times New Roman" w:cs="Times New Roman"/>
          <w:color w:val="000000"/>
        </w:rPr>
        <w:t xml:space="preserve">[1999] EWHC Admin 588; </w:t>
      </w:r>
      <w:r>
        <w:rPr>
          <w:rFonts w:ascii="Times New Roman" w:hAnsi="Times New Roman" w:cs="Times New Roman"/>
          <w:i/>
          <w:iCs/>
          <w:color w:val="000000"/>
        </w:rPr>
        <w:t>R v Leeds City Council ex</w:t>
      </w:r>
      <w:r w:rsidR="00883CE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parte Hendry </w:t>
      </w:r>
      <w:r>
        <w:rPr>
          <w:rFonts w:ascii="Times New Roman" w:hAnsi="Times New Roman" w:cs="Times New Roman"/>
          <w:color w:val="000000"/>
        </w:rPr>
        <w:t xml:space="preserve">[1994] </w:t>
      </w:r>
      <w:proofErr w:type="spellStart"/>
      <w:r>
        <w:rPr>
          <w:rFonts w:ascii="Times New Roman" w:hAnsi="Times New Roman" w:cs="Times New Roman"/>
          <w:color w:val="000000"/>
        </w:rPr>
        <w:t>Admn</w:t>
      </w:r>
      <w:proofErr w:type="spellEnd"/>
      <w:r>
        <w:rPr>
          <w:rFonts w:ascii="Times New Roman" w:hAnsi="Times New Roman" w:cs="Times New Roman"/>
          <w:color w:val="000000"/>
        </w:rPr>
        <w:t xml:space="preserve"> LR 444 D all approved</w:t>
      </w:r>
      <w:r>
        <w:rPr>
          <w:rFonts w:ascii="Times New Roman" w:hAnsi="Times New Roman" w:cs="Times New Roman"/>
          <w:i/>
          <w:iCs/>
          <w:color w:val="000000"/>
        </w:rPr>
        <w:t>; Uhuru Highway Development Ltd v Central Bank of</w:t>
      </w:r>
      <w:r w:rsidR="00883CE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Kenya and others </w:t>
      </w:r>
      <w:r>
        <w:rPr>
          <w:rFonts w:ascii="Times New Roman" w:hAnsi="Times New Roman" w:cs="Times New Roman"/>
          <w:color w:val="000000"/>
        </w:rPr>
        <w:t>[1995] LLR 389 (CAK) applied</w:t>
      </w:r>
      <w:r>
        <w:rPr>
          <w:rFonts w:ascii="Times New Roman" w:hAnsi="Times New Roman" w:cs="Times New Roman"/>
          <w:i/>
          <w:iCs/>
          <w:color w:val="000000"/>
        </w:rPr>
        <w:t xml:space="preserve">, Memory Corporation PLC v Sidhu (number 200) </w:t>
      </w:r>
      <w:r>
        <w:rPr>
          <w:rFonts w:ascii="Times New Roman" w:hAnsi="Times New Roman" w:cs="Times New Roman"/>
          <w:color w:val="000000"/>
        </w:rPr>
        <w:t>1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WLR 1443 applied. The Court must insist on strict compliance with the rules pertaining to nondisclosure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order to afford protection to the absent parties at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stage.</w:t>
      </w:r>
      <w:r w:rsidR="00883C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order of stay was discharged and the KNFCS application for leave dismissed with costs.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lastRenderedPageBreak/>
        <w:t>East Africa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Bugerere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Coffee Growers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Sebaduka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[1970] EA 147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Kenya Telecommunications Investment Group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Elecommunication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7 Commission of Kenya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miscellaneous</w:t>
      </w:r>
      <w:proofErr w:type="gramEnd"/>
      <w:r>
        <w:rPr>
          <w:rFonts w:ascii="Times New Roman" w:hAnsi="Times New Roman" w:cs="Times New Roman"/>
          <w:color w:val="000000"/>
        </w:rPr>
        <w:t xml:space="preserve"> application number 1267 of 2003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Mukisa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Biscuit Manufacturing Co Ltd v West End Distributors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Ltd</w:t>
      </w:r>
      <w:r>
        <w:rPr>
          <w:rFonts w:ascii="Times New Roman" w:hAnsi="Times New Roman" w:cs="Times New Roman"/>
          <w:color w:val="000000"/>
        </w:rPr>
        <w:t>[</w:t>
      </w:r>
      <w:proofErr w:type="gramEnd"/>
      <w:r>
        <w:rPr>
          <w:rFonts w:ascii="Times New Roman" w:hAnsi="Times New Roman" w:cs="Times New Roman"/>
          <w:color w:val="000000"/>
        </w:rPr>
        <w:t xml:space="preserve">1969] EA 696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Nitin Properties Limited v Kalsi and another </w:t>
      </w:r>
      <w:r>
        <w:rPr>
          <w:rFonts w:ascii="Times New Roman" w:hAnsi="Times New Roman" w:cs="Times New Roman"/>
          <w:color w:val="000000"/>
        </w:rPr>
        <w:t xml:space="preserve">[1989] LLR 289 CAK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Uhuru Highway Development Limited v Central Bank of Kenya and others </w:t>
      </w:r>
      <w:r>
        <w:rPr>
          <w:rFonts w:ascii="Times New Roman" w:hAnsi="Times New Roman" w:cs="Times New Roman"/>
          <w:color w:val="000000"/>
        </w:rPr>
        <w:t xml:space="preserve">[1995] LLR 389 (CAK)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Bamford v Bamford </w:t>
      </w:r>
      <w:r>
        <w:rPr>
          <w:rFonts w:ascii="Times New Roman" w:hAnsi="Times New Roman" w:cs="Times New Roman"/>
          <w:color w:val="000000"/>
        </w:rPr>
        <w:t xml:space="preserve">[1969] All ER 969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Bank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Mellat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Nikpour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[1985] FSR 87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Brink’s Mat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Elcombe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 xml:space="preserve">[1988] 3 All ER (CA) 188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Dalglish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Jarvie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(1850) 2 Mac &amp; G 231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Lloyds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Bowmaker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Britannia Arrow Holdings plc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Lavens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third party) </w:t>
      </w:r>
      <w:r>
        <w:rPr>
          <w:rFonts w:ascii="Times New Roman" w:hAnsi="Times New Roman" w:cs="Times New Roman"/>
          <w:color w:val="000000"/>
        </w:rPr>
        <w:t xml:space="preserve">[1988] 3 All ER 178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March Rich and Company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Holding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v Krasner </w:t>
      </w:r>
      <w:r>
        <w:rPr>
          <w:rFonts w:ascii="Times New Roman" w:hAnsi="Times New Roman" w:cs="Times New Roman"/>
          <w:color w:val="000000"/>
        </w:rPr>
        <w:t>1988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Memory Corporation plc v Sidhu (No. 2) </w:t>
      </w:r>
      <w:r>
        <w:rPr>
          <w:rFonts w:ascii="Times New Roman" w:hAnsi="Times New Roman" w:cs="Times New Roman"/>
          <w:color w:val="000000"/>
        </w:rPr>
        <w:t xml:space="preserve">1 WLR 1443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King v General Commissioners for the Purposes of the Income Tax Acts for the District of Kensington ex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parte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Princess Edmond 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Polignac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[1917] 1 KB 487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BF498A" w:rsidRDefault="00BF498A" w:rsidP="00BF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 v Leeds City Council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Hendry [1994] </w:t>
      </w:r>
      <w:proofErr w:type="spellStart"/>
      <w:r>
        <w:rPr>
          <w:rFonts w:ascii="Times New Roman" w:hAnsi="Times New Roman" w:cs="Times New Roman"/>
          <w:color w:val="000000"/>
        </w:rPr>
        <w:t>Admn</w:t>
      </w:r>
      <w:proofErr w:type="spellEnd"/>
      <w:r>
        <w:rPr>
          <w:rFonts w:ascii="Times New Roman" w:hAnsi="Times New Roman" w:cs="Times New Roman"/>
          <w:color w:val="000000"/>
        </w:rPr>
        <w:t xml:space="preserve"> LR 444D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E97396" w:rsidRDefault="00BF498A" w:rsidP="00BF498A">
      <w:r>
        <w:rPr>
          <w:rFonts w:ascii="Times New Roman" w:hAnsi="Times New Roman" w:cs="Times New Roman"/>
          <w:i/>
          <w:iCs/>
          <w:color w:val="000000"/>
        </w:rPr>
        <w:t xml:space="preserve">R v Metropolitan Police Force Disciplinary Tribunal ex parte Lawrence </w:t>
      </w:r>
      <w:r>
        <w:rPr>
          <w:rFonts w:ascii="Times New Roman" w:hAnsi="Times New Roman" w:cs="Times New Roman"/>
          <w:color w:val="000000"/>
        </w:rPr>
        <w:t>[1999] EWHC Admin 588 –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8A"/>
    <w:rsid w:val="00883CEC"/>
    <w:rsid w:val="00BF498A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A597-9D50-4F83-8CC9-838B8D10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2018-07-03T14:09:00Z</dcterms:created>
  <dcterms:modified xsi:type="dcterms:W3CDTF">2018-07-12T20:28:00Z</dcterms:modified>
</cp:coreProperties>
</file>