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Kenya National Federation of Co-operatives Ltd and others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 March 2005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1621/04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Ibrahim J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N Regeru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apply for judicial review – Applicant not making a full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disclosure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facts – Whether applicant under duty to make full material disclosure of facts to court.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Application for leave to apply for judicial review – Leave and stay granted –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Application made to set aside the stay and for dismissal of application for leave – Affidavit supporting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sworn by a director without a resolution of the board of directors – Whether affidavit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admissible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905745" w:rsidRDefault="00B64962" w:rsidP="00B649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IBRAHIM J: </w:t>
      </w:r>
      <w:r>
        <w:rPr>
          <w:rFonts w:ascii="Times New Roman" w:hAnsi="Times New Roman" w:cs="Times New Roman"/>
          <w:color w:val="000000"/>
        </w:rPr>
        <w:t>On the 25 November 2004 the Kenya National Federation of Co-operatives Limited filed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application under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 xml:space="preserve">the provisions of section 8 and 9 of the Law Reform Act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Chapter 26)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Kenya and Orders LIII, rules 1, 2 and 4 of the Civil Procedure Rules and section 3A of the Civil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Act for leave to be granted to it by way of judicial review for the following orders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that: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This application be heard and disposed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in the first instance.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bring to the High Court the decision of the Communication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Commission of Kenya made on 19 August 2004 granting a Global Service Mobile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GSM)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licence to Econet Wireless Kenya Limited for the purposes of being quashed.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bring to the High Court the licence issued to Econet Wireless Kenya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Limited on the 10 November 2004 for purposes of being quashed.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compelling the Communication Commission of Kenya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CCK) to grant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third GSM licence to the consortium that was awarded the tender to operate a third GSM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network on the 19 September 2003.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hat the grant of leave herein to operate as a stay of the matter complained of herein before, that is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say, the leave do operate to stay performance or operation of the licence of the Global Service Mobile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GSM) issued to Econet Wireless Kenya Limited pending the hearing and determination of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substantive application.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he application also seeks an order that the costs of these proceedings be borne by the respondent.”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supported by an affidavit sworn by one Mr Charles Muchiri, the Vice Chairman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company on the 25 November 2004. This application was placed before me under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of urgency on the next day on 26 November 2004. I certified the application as urgent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proceeded to hear it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as contemplated by Order LIII, rule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hearing the submissions of the applicant’s counsel Mr Kahonge and Mr </w:t>
      </w:r>
      <w:r>
        <w:rPr>
          <w:rFonts w:ascii="Times New Roman" w:hAnsi="Times New Roman" w:cs="Times New Roman"/>
          <w:i/>
          <w:iCs/>
          <w:color w:val="000000"/>
        </w:rPr>
        <w:t xml:space="preserve">Karanja </w:t>
      </w:r>
      <w:r>
        <w:rPr>
          <w:rFonts w:ascii="Times New Roman" w:hAnsi="Times New Roman" w:cs="Times New Roman"/>
          <w:color w:val="000000"/>
        </w:rPr>
        <w:t>I granted all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prayers sought except that I directed that costs would be in the main application. I further ordered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application be filed within 21 days and that Econet Wireless Kenya Limited be made a party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as a second respondent or first interested party as it may deem fit.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said application the Kenya National Federation of Co-operatives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color w:val="000000"/>
        </w:rPr>
        <w:t>hereinafter</w:t>
      </w:r>
      <w:proofErr w:type="gramEnd"/>
      <w:r>
        <w:rPr>
          <w:rFonts w:ascii="Times New Roman" w:hAnsi="Times New Roman" w:cs="Times New Roman"/>
          <w:color w:val="000000"/>
        </w:rPr>
        <w:t xml:space="preserve"> referred to as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“KNFC”) claim that: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131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i) The Communication Commission of Kenya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hereinafter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referred to as “CCK”) made a decision on 19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August 2004 granting a Global Service Mobile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GSM) licence to Econet Wireless Kenya Limited.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ii) The CCK had on 10 November 2004 issued the said licence to Econet Wireless Kenya Limited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hereinafter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referred to as “EWK”).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EWK was a constortium company consisting of four shareholders or partners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came together for the purpose of bidding for the tender and award of the Kenya GSM licence.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shareholders and/or partners were: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K NFC, a Kenyan company established and owned by co-operative societies and unions in Kenya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Kenya Co-operative Movement).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E conet Wireless International Pty Limited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hereinafter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referred to as “EWI”), an international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telecommunications company having its headquarters in South Africa.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R apsel Limited, a Kenyan company, 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C orporate Africa Limited, a Kenyan company.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effect of the Orders granted by this Court on 26 November 2004,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was to stay and prohibit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use, performance and operation of the licence for the Global Service Mobile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GSM) issued to EWK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the hearing and determination of the substantive application to be filed by KNFC. EWK as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licensee, granted and owner of the licence was aggrieved by the said orders granted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result, EWK filed in this Court an application under a certificate of urgency on 3 December 2004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following orders: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T hat the application be certified urgent on the grounds set out in the certificate of urgency filed 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listed for hearing on a priority basis on such date and at such time as the Court may direct;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T hat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leave granted to the Kenya National Federation of Co-operatives Limited on 26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November 2004 to apply for prerogative orders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case as set out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chamber summons dated 26 November 2004 be set aside and the order for stay issued on the same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 be discharged;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hat the chamber summons dated 26 November 2004 filed by the applicants be dismissed with cost;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hat KNFC be condemned to bear the costs of the applicant.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application by EWK was placed before me on 6 December 2004 when I certified it as urgent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fixed the </w:t>
      </w:r>
      <w:r>
        <w:rPr>
          <w:rFonts w:ascii="Times New Roman" w:hAnsi="Times New Roman" w:cs="Times New Roman"/>
          <w:i/>
          <w:iCs/>
          <w:color w:val="000000"/>
        </w:rPr>
        <w:t xml:space="preserve">inter partes </w:t>
      </w:r>
      <w:r>
        <w:rPr>
          <w:rFonts w:ascii="Times New Roman" w:hAnsi="Times New Roman" w:cs="Times New Roman"/>
          <w:color w:val="000000"/>
        </w:rPr>
        <w:t>hearing thereof on 10 December 2004. The hearing commenced in earnest on 17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after all parties, including interested parties who appeared, had placed themselves on record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filed their respective court papers.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the applicant EWK, and the respondent for purpose of the application, KNFC, the others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who appeared and filed affidavits respectively were: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C CK in support of the application.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C orporate Africa Limited in support of the application.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R apsel Limited in opposition of the application.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Before commencement of the hearing of the application the Court dealt with several preliminary issues,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applications in respect of which it gave its directions.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132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One application which deserves mention at this stage is one by a company called Kenya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Telecommunications Investment Group which sought to be joined in the proceedings as an interested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and be given leave to participate in EWK’s application. The Court declined to grant the leave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directed that they await the outcome of the application to set aside the orders of 26 November 2004.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set out in EWK’s application are as follows:</w:t>
      </w:r>
      <w:r w:rsidR="00B64962">
        <w:rPr>
          <w:rFonts w:ascii="Times New Roman" w:hAnsi="Times New Roman" w:cs="Times New Roman"/>
          <w:color w:val="00000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there is no, or no sufficient material placed by the applicants before this Honourable Court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show that KNFC has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to apply for any of the prerogative orders.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in obtaining the orders that it did,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>, on 26 November 2004 KNFC: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i) Withheld and suppressed from the attention of this Honourable Court facts relevant 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 to the issues before the Court.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ii) Deliberately distorted and misrepresented the facts applicable to this matter.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iii) Deliberately misled this Honourable Court as to the true state of the dealings between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hereto and in particular as amongst the members of the consortium.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iv) Wilfully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failed to disclose to this Honourable Court that it has consistently defaulted on its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obligations in this matter and failed to discharge its obligations under the various agreements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between the parties.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v) Misrepresented, distorted and taken out of context its purported 82% interest in the consortium.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vi) 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failed to do equity even as it itself seeks equity.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vii) Has come to this Honourable Court with unclean hands.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viii) Failed to discharge that duty owed to this Honourable Court to place before the Court at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</w:t>
      </w:r>
      <w:r w:rsidR="00B649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parte </w:t>
      </w:r>
      <w:r>
        <w:rPr>
          <w:rFonts w:ascii="Times New Roman" w:hAnsi="Times New Roman" w:cs="Times New Roman"/>
          <w:color w:val="000000"/>
          <w:sz w:val="20"/>
          <w:szCs w:val="20"/>
        </w:rPr>
        <w:t>stage all such material as would assist the Court to do justice to all the parties concerned.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ix) Has, in the result, abused the process of this Honourable Court.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had KNFC disclosed and availed to this Honourable Court the true and full facts it is unlikely that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ourt would have made the orders that it did on 6 November 2004.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in all circumstances of this matter, KNFC is not entitled to the leave given or to the order for stay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granted on 26 November 2004.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That consequently the chamber summons herein dated 26 November 2004 ought to be dismissed with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costs.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EWK is supported by an affidavit sworn on 3 December 2004 by one Zachary Wazara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is said to be a director of both EWK and EWI. Right at the beginning of the hearing, this affidavit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challenged by Rapsel Limited. The said company apart from replying affidavit also filed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preliminary objection on 16 December 2004 in the following terms: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application dated 3 December 2004 is incompetent in law since it is supported by an affidavit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sworn by a person without authority to do so on behalf of EWK.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he said affidavit sworn in support of the application dated 3 December 2004 is inadmissible on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grounds of conflicts of interest on the part of Mr Zachary Wazara, the deponent, and should be struck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out.”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Kibe</w:t>
      </w:r>
      <w:r>
        <w:rPr>
          <w:rFonts w:ascii="Times New Roman" w:hAnsi="Times New Roman" w:cs="Times New Roman"/>
          <w:color w:val="000000"/>
        </w:rPr>
        <w:t>, counsel for Rapsel Limited proposed to argue these preliminary objections before EWK argued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application. However, since I had my reservation as to whether the said objections raised pure points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law and in order to save precious judicial time, I directed that they be raised in Rapsel’s submissions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reply. Since the said objections are claimed to be preliminary in nature, it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133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would be prudent for the Court to dispose of them at the beginning of this ruling since if they are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 and are upheld, Mr Wazara’s affidavit would have to be struck out thereby disposing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 application on these grounds alone.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number 1 – Mr Zachary Wazara’s authority to swear to the affidavit on behalf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EWK.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Rapsel Limited through 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>argued that at no time did the board of directors of EWK pass any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resolution for Mr Zachary Wazara to swear to the affidavit sworn on 3 December 2004 in support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on behalf of EWK. He says that at the material time, there were only two directors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and there is no evidence that the two met as a board for this purpose and of more importance, no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resolution was passed to authorise the making of the said affidavit. That a director cannot on his own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decisions on behalf of the board. Further, that the act of Mr Wazara swearing to the affidavit is not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capable of ratification. That the acts capable of ratification are those of the board of directors and not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individual director.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 xml:space="preserve">relied on the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Bugerere Coffee Growers Ltd v Sebaduka and another </w:t>
      </w:r>
      <w:r>
        <w:rPr>
          <w:rFonts w:ascii="Times New Roman" w:hAnsi="Times New Roman" w:cs="Times New Roman"/>
          <w:color w:val="000000"/>
        </w:rPr>
        <w:t>[1970] EA 147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which High Court of Uganda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Youds J) held that when companies authorise the commencement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proceedings, a resolution or resolutions have to be passed either at a company or board of directors’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meeting and recorded in the minutes. </w:t>
      </w:r>
      <w:r>
        <w:rPr>
          <w:rFonts w:ascii="Times New Roman" w:hAnsi="Times New Roman" w:cs="Times New Roman"/>
          <w:color w:val="000000"/>
        </w:rPr>
        <w:lastRenderedPageBreak/>
        <w:t>The Court on this ground among others dismissed the suit holding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such resolution had been passed authorising the proceedings.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 Mr </w:t>
      </w:r>
      <w:r>
        <w:rPr>
          <w:rFonts w:ascii="Times New Roman" w:hAnsi="Times New Roman" w:cs="Times New Roman"/>
          <w:i/>
          <w:iCs/>
          <w:color w:val="000000"/>
        </w:rPr>
        <w:t xml:space="preserve">Regeru </w:t>
      </w:r>
      <w:r>
        <w:rPr>
          <w:rFonts w:ascii="Times New Roman" w:hAnsi="Times New Roman" w:cs="Times New Roman"/>
          <w:color w:val="000000"/>
        </w:rPr>
        <w:t>for EWK submitted that EWK came to court on the basis of a court order. 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it is the Court which made EWK a party and directed that it should be served. That EWK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therefore, in the proceedings participating in compliance with an express court order which as a law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abiding person, it could not disregard. Further, that Mr Zachary Wazara was indeed a director and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chairman of EWK a fact known by all parties. Mr </w:t>
      </w:r>
      <w:r>
        <w:rPr>
          <w:rFonts w:ascii="Times New Roman" w:hAnsi="Times New Roman" w:cs="Times New Roman"/>
          <w:i/>
          <w:iCs/>
          <w:color w:val="000000"/>
        </w:rPr>
        <w:t>Regeru</w:t>
      </w:r>
      <w:r>
        <w:rPr>
          <w:rFonts w:ascii="Times New Roman" w:hAnsi="Times New Roman" w:cs="Times New Roman"/>
          <w:color w:val="000000"/>
        </w:rPr>
        <w:t>, referred the Court to resolutions of the board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directors and the chairman of EWK a fact known by all parties. Mr </w:t>
      </w:r>
      <w:r>
        <w:rPr>
          <w:rFonts w:ascii="Times New Roman" w:hAnsi="Times New Roman" w:cs="Times New Roman"/>
          <w:i/>
          <w:iCs/>
          <w:color w:val="000000"/>
        </w:rPr>
        <w:t>Regeru</w:t>
      </w:r>
      <w:r>
        <w:rPr>
          <w:rFonts w:ascii="Times New Roman" w:hAnsi="Times New Roman" w:cs="Times New Roman"/>
          <w:color w:val="000000"/>
        </w:rPr>
        <w:t>, referred the Court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resolutions of the board of directors of EWK made on 9 March 2004 in which the board of directors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EWK was purportedly reconstituted. He also said that the chief executive of Rapsel Limited, Mr Manga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Mugwe, in his own affidavit sworn on 16 December 2004 confirmed that Mr Wazara was a director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EWK.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EWK argued that since Mr Wazara was a director of EWK, it is presumed that he has the authority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to swear to the affidavit on its behalf unless it can be shown otherwise. That a director of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is an agent of the company and has authority to act on the company’s behalf in certain matters.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swearing to an affidavit or making of an application as the one before the Court does not amount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institution of proceedings which requires the </w:t>
      </w:r>
      <w:proofErr w:type="gramStart"/>
      <w:r>
        <w:rPr>
          <w:rFonts w:ascii="Times New Roman" w:hAnsi="Times New Roman" w:cs="Times New Roman"/>
          <w:color w:val="000000"/>
        </w:rPr>
        <w:t>boards</w:t>
      </w:r>
      <w:proofErr w:type="gramEnd"/>
      <w:r>
        <w:rPr>
          <w:rFonts w:ascii="Times New Roman" w:hAnsi="Times New Roman" w:cs="Times New Roman"/>
          <w:color w:val="000000"/>
        </w:rPr>
        <w:t xml:space="preserve"> resolution. Further, that the action taken by Mr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Wazara in trying to protect the assets of EWK is </w:t>
      </w:r>
      <w:r>
        <w:rPr>
          <w:rFonts w:ascii="Times New Roman" w:hAnsi="Times New Roman" w:cs="Times New Roman"/>
          <w:i/>
          <w:iCs/>
          <w:color w:val="000000"/>
        </w:rPr>
        <w:t xml:space="preserve">intra vires </w:t>
      </w:r>
      <w:r>
        <w:rPr>
          <w:rFonts w:ascii="Times New Roman" w:hAnsi="Times New Roman" w:cs="Times New Roman"/>
          <w:color w:val="000000"/>
        </w:rPr>
        <w:t>the powers of the board of directors and 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capable of ratification.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the submissions on both sides and I am of the view that: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F irstly, whether the point of law regarding Mr Wazara’s authority is as envisaged by the principles laid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down in line with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Mukisa Biscuits v West End Distributors Limited </w:t>
      </w:r>
      <w:r>
        <w:rPr>
          <w:rFonts w:ascii="Times New Roman" w:hAnsi="Times New Roman" w:cs="Times New Roman"/>
          <w:color w:val="000000"/>
          <w:sz w:val="20"/>
          <w:szCs w:val="20"/>
        </w:rPr>
        <w:t>[1969] EA 700.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134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submissions made by counsel demonstrate that Rapsel Limited is of the view that at the time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was sworn the company had two directors only namely, Mr Eliphason Mwaura and Mr Peter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Kibiriti. Rapsel relied on a letter dated 11 November 2004 from the Registrar of companies. On the other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hand, Mr </w:t>
      </w:r>
      <w:r>
        <w:rPr>
          <w:rFonts w:ascii="Times New Roman" w:hAnsi="Times New Roman" w:cs="Times New Roman"/>
          <w:i/>
          <w:iCs/>
          <w:color w:val="000000"/>
        </w:rPr>
        <w:t xml:space="preserve">Regeru </w:t>
      </w:r>
      <w:r>
        <w:rPr>
          <w:rFonts w:ascii="Times New Roman" w:hAnsi="Times New Roman" w:cs="Times New Roman"/>
          <w:color w:val="000000"/>
        </w:rPr>
        <w:t>referred to a purported resolution of the board of directors of EWK made on 9 March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in which a new board of directors were purportedly appointed to include additional directors as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 Apollo Kariuki representing KNFC, Nguru Wachira representing KNFC, Kairu Mbuthia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representing KNFC, Manga Mugwe representing Rapsel Limited, Zachary Wazara representing EWI,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Rugare Chidembo representing EWI and Chris Wadman representing EWI.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initial directors, Mr Kibiriti represented Corporate Africa while Mr Mwaura Njiri represented EWI.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resolutions which were shown to the Court were signed by four directors including Mr Manga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Mugwe. The Court also confirmed that in paragraph 3 of his aforesaid affidavit, Mr Mugwe the chief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executive of Rapsel Limited depones that both himself and Mr Wazara were directors of EWK.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deems that such directorships could only have arisen from the said resolution. The Court had sight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notification of change of particulars of directors and secretaries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Form 203 A) dated 9 March 2004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receipt dated 6 May 2004 issued by the Registrar General allegedly in respect of the filling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returns.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each side disputes the position of the other side in respect of the directorship, I do hereby hold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preliminary objection by Rapsel Limited is based on a contentious factual issue and which requires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to be produced and determined by the Court. It is not a pure point of law and the same 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dismissed.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event I am wrong. I would have held that Rapsel Limited is the one which has raised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objection, it must be deemed that it accepts the facts in EWK’s application to be correct for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purposes of objection.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Nitin Properties Limited v Kalsi and another </w:t>
      </w:r>
      <w:r>
        <w:rPr>
          <w:rFonts w:ascii="Times New Roman" w:hAnsi="Times New Roman" w:cs="Times New Roman"/>
          <w:color w:val="000000"/>
        </w:rPr>
        <w:t>[1989] LLR 289 CAK,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said: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must be born in mind that for a preliminary point to succeed the facts as alleged in the plaint are deemed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correct”.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application, when considering the preliminary objection raised the Court must deem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in Mr Zachary Wazara’s affidavit are correct. If this be the case then the Court would accept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Mr Wazara is a director of EWK and the interim chairman of the boards of directors. The Court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also accept that on 9 March 2004 a new board of directors was constituted increasing the number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directors from two to nine.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grant of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herein had the effect of prohibiting the use, performance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licence for the GSM issued to EWK. EWK could not commence any operations or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 any business in this connection. EWK was paralysed so to speak. EWK being aggrieved was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entitled to come to court to </w:t>
      </w:r>
      <w:r>
        <w:rPr>
          <w:rFonts w:ascii="Times New Roman" w:hAnsi="Times New Roman" w:cs="Times New Roman"/>
          <w:color w:val="000000"/>
        </w:rPr>
        <w:lastRenderedPageBreak/>
        <w:t>protect its valuable asset as there can be no dispute that the licence is indeed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very valuable and important asset and the owner is EWK.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is whether the action of Mr Zachary Wazara to file the application and to swear to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in support thereof was authorised by a resolution of the board of directors. Mr Wazara, when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faced with the preliminary objection did not produce any resolution or evidence that indeed the board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authorised him to not only file the application but to swear to the affidavit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135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herein. Mr </w:t>
      </w:r>
      <w:r>
        <w:rPr>
          <w:rFonts w:ascii="Times New Roman" w:hAnsi="Times New Roman" w:cs="Times New Roman"/>
          <w:i/>
          <w:iCs/>
          <w:color w:val="000000"/>
        </w:rPr>
        <w:t xml:space="preserve">Regeru </w:t>
      </w:r>
      <w:r>
        <w:rPr>
          <w:rFonts w:ascii="Times New Roman" w:hAnsi="Times New Roman" w:cs="Times New Roman"/>
          <w:color w:val="000000"/>
        </w:rPr>
        <w:t xml:space="preserve">as indicated earlier argued that the said actions of Mr Wazara were </w:t>
      </w:r>
      <w:r>
        <w:rPr>
          <w:rFonts w:ascii="Times New Roman" w:hAnsi="Times New Roman" w:cs="Times New Roman"/>
          <w:i/>
          <w:iCs/>
          <w:color w:val="000000"/>
        </w:rPr>
        <w:t xml:space="preserve">intra vires </w:t>
      </w:r>
      <w:r>
        <w:rPr>
          <w:rFonts w:ascii="Times New Roman" w:hAnsi="Times New Roman" w:cs="Times New Roman"/>
          <w:color w:val="000000"/>
        </w:rPr>
        <w:t>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company’s articles of association and therefore capable of ratification by the board.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 </w:t>
      </w:r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gramEnd"/>
      <w:r>
        <w:rPr>
          <w:rFonts w:ascii="Times New Roman" w:hAnsi="Times New Roman" w:cs="Times New Roman"/>
          <w:color w:val="000000"/>
        </w:rPr>
        <w:t xml:space="preserve">) Volume 7 at paragraphs 504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292) it is stated as follows: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“Acts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ultra vires </w:t>
      </w:r>
      <w:r>
        <w:rPr>
          <w:rFonts w:ascii="Times New Roman" w:hAnsi="Times New Roman" w:cs="Times New Roman"/>
          <w:color w:val="000000"/>
          <w:sz w:val="20"/>
          <w:szCs w:val="20"/>
        </w:rPr>
        <w:t>...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 act of the directors which is not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ultra vires </w:t>
      </w:r>
      <w:r>
        <w:rPr>
          <w:rFonts w:ascii="Times New Roman" w:hAnsi="Times New Roman" w:cs="Times New Roman"/>
          <w:color w:val="000000"/>
          <w:sz w:val="20"/>
          <w:szCs w:val="20"/>
        </w:rPr>
        <w:t>the company, may be ratified by the company in general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meeting, or at an informal meeting of all the shareholders, or by the acquiescence of all shareholders without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meeting”.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English case of </w:t>
      </w:r>
      <w:r>
        <w:rPr>
          <w:rFonts w:ascii="Times New Roman" w:hAnsi="Times New Roman" w:cs="Times New Roman"/>
          <w:i/>
          <w:iCs/>
          <w:color w:val="000000"/>
        </w:rPr>
        <w:t xml:space="preserve">Bamford v Bamford </w:t>
      </w:r>
      <w:r>
        <w:rPr>
          <w:rFonts w:ascii="Times New Roman" w:hAnsi="Times New Roman" w:cs="Times New Roman"/>
          <w:color w:val="000000"/>
        </w:rPr>
        <w:t>[1969] All ER 969, the Court of Appeal in England held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issue of shares by the directors of a company, which is </w:t>
      </w:r>
      <w:r>
        <w:rPr>
          <w:rFonts w:ascii="Times New Roman" w:hAnsi="Times New Roman" w:cs="Times New Roman"/>
          <w:i/>
          <w:iCs/>
          <w:color w:val="000000"/>
        </w:rPr>
        <w:t xml:space="preserve">intra vires </w:t>
      </w:r>
      <w:r>
        <w:rPr>
          <w:rFonts w:ascii="Times New Roman" w:hAnsi="Times New Roman" w:cs="Times New Roman"/>
          <w:color w:val="000000"/>
        </w:rPr>
        <w:t>the company and directors but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voidable because the directors were actuated by improper motives and so guilty of misfeasance, can be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ratified after full and frank disclosure by the directors to the shareholders by an ordinary resolution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shareholders in general meeting. Lord Harman LJ put this principle very succinctly when he observed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972):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trite </w:t>
      </w:r>
      <w:r>
        <w:rPr>
          <w:rFonts w:ascii="Times New Roman" w:hAnsi="Times New Roman" w:cs="Times New Roman"/>
          <w:color w:val="000000"/>
          <w:sz w:val="20"/>
          <w:szCs w:val="20"/>
        </w:rPr>
        <w:t>law, I had thought, that if directors do acts, as they do everyday, especially in private companies,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which, perhaps because there is no quorum, or because their appointment was defective, or because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sometimes there are no directors properly appointed at all, or because they are actuated by improper motives,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go on doing for years, carrying on the business of the company in the way in which, if properly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constituted, they should carry it on, and then they find that everything has been, so to speak, wrongly done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 it was not done by a proper board, such directors can, by making a full and frank disclosure 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calling together the general body of the shareholders, obtain absolution and forgiveness of their sins; 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provided the acts are not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ultra vires </w:t>
      </w:r>
      <w:r>
        <w:rPr>
          <w:rFonts w:ascii="Times New Roman" w:hAnsi="Times New Roman" w:cs="Times New Roman"/>
          <w:color w:val="000000"/>
          <w:sz w:val="20"/>
          <w:szCs w:val="20"/>
        </w:rPr>
        <w:t>the company as a whole everything will go on as if it had been done all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from the beginning. I cannot believe that it is not a common place of company law. It is done everyday.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course, if the majority of the general meeting will not forgive and approve, then the directors must pay for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aforesaid sound principles of law I am persuaded by, I ask myself firstly: Are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of Mr Wazara in instructing counsel to file this application and in swearing to the affidavit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capable of ratification by the board of directors or general meeting of the company? I am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rightly or wrongly, the action of EWK through Mr Wazara’s decision is one for the protection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company’s asset or at least one for which it has parted with at least $15 million to CCK to secure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licence. There are claims albeit contested that it has incurred much more than this. Ordinarily, such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would be taken by the board of directors through a resolution. It would be a routine matter as it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their duty to do so. So far, there is no suggestion by any party that such a decision would not be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intra vires </w:t>
      </w:r>
      <w:r>
        <w:rPr>
          <w:rFonts w:ascii="Times New Roman" w:hAnsi="Times New Roman" w:cs="Times New Roman"/>
          <w:color w:val="000000"/>
        </w:rPr>
        <w:t>the company’s articles or that the board properly constituted could not be able to decide upon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my view that the action of Mr Wazara was taken to protect the company’s asset, the licence 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in the interest of the company and it is a duty laid on the board of directors by their office as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directors to act in all matters committed to them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in the interest of the company. I hold that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action is capable of ratification not only by the general meeting but by the board of directors, if they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committed to the welfare, benefit and interest of the company.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follows, therefore, that this Court cannot interfere with such a decision or action by Mr Wazara. If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 Wazara lacked any authority to make the affidavit,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136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the Court will not intervene at this stage as it is an act capable of ratification by the board or the general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meeting.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have dismissed the first preliminary objection on this ground.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number two: Whether the affidavit by Mr Zachary Wazara is inadmissible 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of conflict of interests on his part?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Rapsel Limited contends that the affidavit sworn in support of </w:t>
      </w:r>
      <w:r>
        <w:rPr>
          <w:rFonts w:ascii="Times New Roman" w:hAnsi="Times New Roman" w:cs="Times New Roman"/>
          <w:color w:val="000000"/>
        </w:rPr>
        <w:lastRenderedPageBreak/>
        <w:t>the application dated 3 December 2004 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inadmissible on the grounds of conflict of interests on the part of Mr Zachary Wazara. 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>in his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says that Mr Wazara in the said affidavit is advancing the cause and interest of EWI in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and guise of a directorship of EWK. That the other consortium members save EWI did not consent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give him authority to do so. That Mr Wazara, as a director of EWK, owes a duty of care to Rapsel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which is supposed to be a shareholder of EWK and entitled to sit on the board. That Mr Wazara,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director of EWK, is in a fiduciary position and cannot in law take a position adverse to the interests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shareholders, in this case Rapsel Limited. That Mr Wazara made the affidavit well knowing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directors representing members of the consortium are involved in an adversarial litigation or disputes.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interest of EWI and Rapsel are not the same and are in conflict, at the material times, a fact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by Mr Wazara who wears two hats, namely, a director in both EWK and EWI. Rapsel Limited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prays that the said affidavit be declared inadmissible by this Court and the same struck out.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this preliminary point of law and the various submissions of counsel. First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foremost, the contention as to whether there is a conflict of interest between Mr Wazara’s position as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deponent in these proceedings and his position as a director of EWK considering the interest and position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consortium members is a matter of fact and evidence. For 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>to attempt to persuade the Court 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point, he was compelled to refer to the correspondence, agreements and other documents annexed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affidavits. This alone demonstrates and confirms the Court’s view that the second preliminary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objection is not a pure point of law. For the Court to determine the existence of the conflict </w:t>
      </w:r>
      <w:proofErr w:type="gramStart"/>
      <w:r>
        <w:rPr>
          <w:rFonts w:ascii="Times New Roman" w:hAnsi="Times New Roman" w:cs="Times New Roman"/>
          <w:color w:val="000000"/>
        </w:rPr>
        <w:t>its has</w:t>
      </w:r>
      <w:proofErr w:type="gramEnd"/>
      <w:r>
        <w:rPr>
          <w:rFonts w:ascii="Times New Roman" w:hAnsi="Times New Roman" w:cs="Times New Roman"/>
          <w:color w:val="000000"/>
        </w:rPr>
        <w:t xml:space="preserve">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to evidence. Counsel himself could not desist from doing this in advancing the said argument.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it is a fact that from the positions taken in this matter, the affidavits and other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there are serious differences and disputes between the consortium members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partners/shareholders in EWK. It has been revealed and came to the fore that in these proceedings EWI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Corporate Africa are on one side while KNFC and Rapsel Limited are on the other side. Mr Wazara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director and representative of the interests of EWI in EWK. It may appear and may even be proved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that indeed when Mr Wazara speaks for EWK, he is also advancing the interests of EWI and if there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an internal conflict, he will not remain independent and impartial. The likelihood is that he will always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a position in favour of EWI. I would say the same would apply to Mr Manga Mugwe the Chief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Executive of Rapsel Limited. He is director of EWI and also Rapsel Limited as a consortium member. If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board room dispute, surely, it would be natural for Mr Mugweto to take a position to protect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 of Rapsel Limited. It follows that the aforesaid so-called conflict of interest would cut across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of all directors of the respective consortium members.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137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However, the Court would wish that the parties redirect themselves and focus to the real questions for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determination in this matter. The application filed by KNFC is for judicial review orders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namely,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in respect of decisions of CCK. It does not require any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persuasion, therefore, that the said application and what is before the Court is not and I emphasis not,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shareholders’ dispute or proceedings to determine any questions of differences or disputes between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KNFC, EWI, Rapsel Limited and Corporate Africa. The Court has no mandate or jurisdiction under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LIII, to hear or resolve disputes between shareholders in a company whether private or public.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That’s for the civil and/or commercial courts. What is before this Court are matters pertaining to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of statutory duties of CCK and its conduct and decisions thereof.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result, any matters of conflict of interest between EWI and Rapsel Limited or the conduct of Mr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Wazara in these proceeding in this regard are irrelevant. Let Rapsel Limited be assured that this Court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not take into account any part of Mr Wazara’s affidavit that purports to discuss the rights, interests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conduct of Rapsel Limited and in particular in so far as it relates to shareholding or equity, capital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contributions, agreements between shareholders, alleged breaches thereof etcetera. These are not for this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decide not only in the present application but also in the substantive application filed by KNFC.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reference to the above issues could only be in connection with the award of the tender to EWK,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the licence and the compliance with the terms and conditions thereof and the provisions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Communications Act.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therefore do hereby dismiss the second preliminary objection for the aforesaid reasons.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Court delves into the main grounds on which EWK’s application is grounded, namely,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of non-disclosure and suppression of material facts, </w:t>
      </w:r>
      <w:r>
        <w:rPr>
          <w:rFonts w:ascii="Times New Roman" w:hAnsi="Times New Roman" w:cs="Times New Roman"/>
          <w:color w:val="000000"/>
        </w:rPr>
        <w:lastRenderedPageBreak/>
        <w:t>information and documents, it must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essence deal with the question of jurisdiction raised by Rapsel Limited which really ought to have been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EWK’s </w:t>
      </w:r>
      <w:r>
        <w:rPr>
          <w:rFonts w:ascii="Times New Roman" w:hAnsi="Times New Roman" w:cs="Times New Roman"/>
          <w:i/>
          <w:iCs/>
          <w:color w:val="000000"/>
        </w:rPr>
        <w:t>locus standi</w:t>
      </w:r>
      <w:r>
        <w:rPr>
          <w:rFonts w:ascii="Times New Roman" w:hAnsi="Times New Roman" w:cs="Times New Roman"/>
          <w:color w:val="000000"/>
        </w:rPr>
        <w:t>, rather than jurisdiction of the Court.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Rapsel Limited contends that the orders sought by KNFC in its application for leave and stay and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orders sought in the main application are by way of judicial review under Order LIII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Rules. That the orders granted by the Court on 26 November 2004 were made against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CCK which is the true respondent in this matter. That EWK strictly is an interested party and as such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have the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 xml:space="preserve">to apply to set aside or discharge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granted. That the said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cannot in law be available to EWK. That the appropriate time for EWK to respond or say its piece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at the hearing of the substantive application. Finally, that for EWK to be allowed to prosecute its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if it is successful, would deny Rapsel Limited its right to canvas its interest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participate in the judicial review application.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Court’s views that although CCK is the principal respondent and that it is its decision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which are under attack in the main application, the licence granted belongs to and is the property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asset of EWK. Although it could be said to be a secondary respondent or even an interested party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the main respondent, it is the one that has been most affected by the grant of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orders.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licence is EWK’s property and there can be no dispute that it is a valuable asset. Its operation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implementation has been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138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stopped through the Court orders herein. EWK cannot mobilise or roll-out its project as intended. EWK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naturally aggrieved and it is not a surprise that it has moved this Court in the manner it has. I do hold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EWK has more than sufficient right and interest in these proceedings. It has the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bring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just as CCK which also filed a similar application subsequently has. The novelty of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cannot deprive EWK of its right to participate in these proceedings including challenging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granted. I therefore, hold this Court has the jurisdiction to entertain the present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point of law that Rapsel Limited raised which ought to be considered by the Court at this stage 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standard the Court is to apply when considering the question of alleged non-disclosure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material facts at the time an applicant applies for leave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 judicial review applicants ought to be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lower than in cases of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applications for injunctions. 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>argued that most of the authorities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cases regarding principles applicable to non-disclosure of material facts related to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for injunctions. He submitted that in an application for injunction the applicant does not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 leave for the Court to commence the proceedings. That in injunction applications what is sought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a remedy or relief pending the hearing of the application </w:t>
      </w:r>
      <w:r>
        <w:rPr>
          <w:rFonts w:ascii="Times New Roman" w:hAnsi="Times New Roman" w:cs="Times New Roman"/>
          <w:i/>
          <w:iCs/>
          <w:color w:val="000000"/>
        </w:rPr>
        <w:t xml:space="preserve">inter partes </w:t>
      </w:r>
      <w:r>
        <w:rPr>
          <w:rFonts w:ascii="Times New Roman" w:hAnsi="Times New Roman" w:cs="Times New Roman"/>
          <w:color w:val="000000"/>
        </w:rPr>
        <w:t xml:space="preserve">in the main suit. That an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injunction will be set down for hearing </w:t>
      </w:r>
      <w:r>
        <w:rPr>
          <w:rFonts w:ascii="Times New Roman" w:hAnsi="Times New Roman" w:cs="Times New Roman"/>
          <w:i/>
          <w:iCs/>
          <w:color w:val="000000"/>
        </w:rPr>
        <w:t xml:space="preserve">inter partes </w:t>
      </w:r>
      <w:r>
        <w:rPr>
          <w:rFonts w:ascii="Times New Roman" w:hAnsi="Times New Roman" w:cs="Times New Roman"/>
          <w:color w:val="000000"/>
        </w:rPr>
        <w:t>and the parties have the opportunity to argue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before the Court on its full merits. That a party in an injunction application must demonstrate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orders were obtained properly and the Court is required to record its reasons for the grant of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orders. That if an applicant is not successful in his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 for injunction, the remedy is still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 at the </w:t>
      </w:r>
      <w:r>
        <w:rPr>
          <w:rFonts w:ascii="Times New Roman" w:hAnsi="Times New Roman" w:cs="Times New Roman"/>
          <w:i/>
          <w:iCs/>
          <w:color w:val="000000"/>
        </w:rPr>
        <w:t xml:space="preserve">inter partes </w:t>
      </w:r>
      <w:r>
        <w:rPr>
          <w:rFonts w:ascii="Times New Roman" w:hAnsi="Times New Roman" w:cs="Times New Roman"/>
          <w:color w:val="000000"/>
        </w:rPr>
        <w:t xml:space="preserve">stage. 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>further contended that it is different when it comes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for leave to file judicial review applications. That in an application for leave to stay, if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does not grant these at the threshold, then that is the end of the matter as far as those prayers are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concerned. That judicial review applications are not to give remedies to private parties but to ensure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performance of statutory duties by public bodies. That if the threshold for obtaining leave was made so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high, then the supervisory jurisdiction of the Court would be rendered meaningless and many would be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access to judicial review. That in applications for leave the Court is not required to go into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in depth and all the applicant has to show is that he has an arguable case. Finally, that the stay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if granted are only provisional and can be set aside. That also in private disputes the litigant does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need the permission of the Court to institute proceedings while under Order LIII, it is mandatory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 leave of the Court before commencing judicial review proceedings and, therefore, the standards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the same and the Court must be more liberal in the latter cases.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 to the aforesaid arguments, EWK and CCK referred to the case of </w:t>
      </w:r>
      <w:r>
        <w:rPr>
          <w:rFonts w:ascii="Times New Roman" w:hAnsi="Times New Roman" w:cs="Times New Roman"/>
          <w:i/>
          <w:iCs/>
          <w:color w:val="000000"/>
        </w:rPr>
        <w:t>R v Metropolitan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Police Force Disciplinary Tribunal ex parte Lawrence </w:t>
      </w:r>
      <w:r>
        <w:rPr>
          <w:rFonts w:ascii="Times New Roman" w:hAnsi="Times New Roman" w:cs="Times New Roman"/>
          <w:color w:val="000000"/>
        </w:rPr>
        <w:t>[1999] EWHC Admin 588 in which the High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England observed: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essential that parties whose seek leave to move for judicial review should appreciate that they have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duty to make full disclosure of all potentially material matters to the Court”.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statement seems to </w:t>
      </w:r>
      <w:r>
        <w:rPr>
          <w:rFonts w:ascii="Times New Roman" w:hAnsi="Times New Roman" w:cs="Times New Roman"/>
          <w:color w:val="000000"/>
        </w:rPr>
        <w:lastRenderedPageBreak/>
        <w:t xml:space="preserve">counter the arguments by Mr </w:t>
      </w:r>
      <w:r>
        <w:rPr>
          <w:rFonts w:ascii="Times New Roman" w:hAnsi="Times New Roman" w:cs="Times New Roman"/>
          <w:i/>
          <w:iCs/>
          <w:color w:val="000000"/>
        </w:rPr>
        <w:t xml:space="preserve">Kibe </w:t>
      </w:r>
      <w:r>
        <w:rPr>
          <w:rFonts w:ascii="Times New Roman" w:hAnsi="Times New Roman" w:cs="Times New Roman"/>
          <w:color w:val="000000"/>
        </w:rPr>
        <w:t>who did not cite any authority to support his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aforesaid submission on this point. Mr </w:t>
      </w:r>
      <w:r>
        <w:rPr>
          <w:rFonts w:ascii="Times New Roman" w:hAnsi="Times New Roman" w:cs="Times New Roman"/>
          <w:i/>
          <w:iCs/>
          <w:color w:val="000000"/>
        </w:rPr>
        <w:t xml:space="preserve">Amoko </w:t>
      </w:r>
      <w:r>
        <w:rPr>
          <w:rFonts w:ascii="Times New Roman" w:hAnsi="Times New Roman" w:cs="Times New Roman"/>
          <w:color w:val="000000"/>
        </w:rPr>
        <w:t>for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139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CCK availed to the Court extracts from the “</w:t>
      </w:r>
      <w:r>
        <w:rPr>
          <w:rFonts w:ascii="Times New Roman" w:hAnsi="Times New Roman" w:cs="Times New Roman"/>
          <w:i/>
          <w:iCs/>
          <w:color w:val="000000"/>
        </w:rPr>
        <w:t>Judicial Review Handbook</w:t>
      </w:r>
      <w:r>
        <w:rPr>
          <w:rFonts w:ascii="Times New Roman" w:hAnsi="Times New Roman" w:cs="Times New Roman"/>
          <w:color w:val="000000"/>
        </w:rPr>
        <w:t xml:space="preserve">”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3 </w:t>
      </w:r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gramEnd"/>
      <w:r>
        <w:rPr>
          <w:rFonts w:ascii="Times New Roman" w:hAnsi="Times New Roman" w:cs="Times New Roman"/>
          <w:color w:val="000000"/>
        </w:rPr>
        <w:t>) by Michael Fordham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an essential and must have handbook on judicial review. At page 352, the author says that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claimant for permission is under a duty to make full and frank disclosures to the Court of all material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and matters. He says: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“21.5 Claimant’s duty of Candour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claimant for permission is under an important duty to make full and frank disclosure to the Court of all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 facts and matters. It is especially important to draw attention to matters which are adverse to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claim, in particular: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statutory restriction on the availability of judicial review;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alternative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remedy;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delay/lack of promptness and so need for an extension of time. In facing up to adverse points,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claimant will have an early opportunity to explain why those points are not fatal and why the case should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permitted to proceed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‘confess and avoid’). The duty of ‘full and frank disclosure’ harks back to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when permission for judicial review was ‘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’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notice to the defendant/interested parties).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has changed”.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Kenya, the position has not changed and Order LIII actually contemplates that applications for leave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 xml:space="preserve">. The said Handbook cites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Leeds City Council, ex parte Hendry </w:t>
      </w:r>
      <w:r>
        <w:rPr>
          <w:rFonts w:ascii="Times New Roman" w:hAnsi="Times New Roman" w:cs="Times New Roman"/>
          <w:color w:val="000000"/>
        </w:rPr>
        <w:t>[1994]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Admn LR 444D in which Latham J observed: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of fundamental importance that applications for judicial review should be made with full disclosure of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material available to the claimant this is a case which I can properly use in order to send a message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those who are making applications to this Court reminding them of their duty to make full disclosure; failure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do so will result in appropriate cases in the discretion of the Court, being exercised against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claimant)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relation to the grant of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remedy)”.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aforesaid statement in the handbook and observations in the above case demonstrate that indeed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 of full and rank disclosures by applicants in judicial review is the same as in injunction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applications. There is no criteria for lowering of standards in the said statements. If anyone had any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doubts then reference to the </w:t>
      </w:r>
      <w:r>
        <w:rPr>
          <w:rFonts w:ascii="Times New Roman" w:hAnsi="Times New Roman" w:cs="Times New Roman"/>
          <w:i/>
          <w:iCs/>
          <w:color w:val="000000"/>
        </w:rPr>
        <w:t xml:space="preserve">cause celeb’re </w:t>
      </w:r>
      <w:r>
        <w:rPr>
          <w:rFonts w:ascii="Times New Roman" w:hAnsi="Times New Roman" w:cs="Times New Roman"/>
          <w:color w:val="000000"/>
        </w:rPr>
        <w:t>regarding the principles of full and frank disclosures and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consequences of non-disclosure of material facts would put the matter to rest. This is the oft-cited case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King v General Commissioners for the Purposes of the Income Tax Acts for the District of Kensington </w:t>
      </w:r>
      <w:r>
        <w:rPr>
          <w:rFonts w:ascii="Times New Roman" w:hAnsi="Times New Roman" w:cs="Times New Roman"/>
          <w:color w:val="000000"/>
        </w:rPr>
        <w:t>ex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parte </w:t>
      </w:r>
      <w:r>
        <w:rPr>
          <w:rFonts w:ascii="Times New Roman" w:hAnsi="Times New Roman" w:cs="Times New Roman"/>
          <w:i/>
          <w:iCs/>
          <w:color w:val="000000"/>
        </w:rPr>
        <w:t xml:space="preserve">Princess Edmond De Polignac </w:t>
      </w:r>
      <w:r>
        <w:rPr>
          <w:rFonts w:ascii="Times New Roman" w:hAnsi="Times New Roman" w:cs="Times New Roman"/>
          <w:color w:val="000000"/>
        </w:rPr>
        <w:t>[1917] 1 KB 487 which was in respect of a judicial review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which has been approved and applied by our own Court of Appeal in a string of appeal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and the principles therein are now part of our law.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I, therefore, find that there is no distinction when applying the said principles to cases of judicial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review. It does not matter the type of case or matter, once a matter is before the Court in the absence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 or other parties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parte</w:t>
      </w:r>
      <w:r>
        <w:rPr>
          <w:rFonts w:ascii="Times New Roman" w:hAnsi="Times New Roman" w:cs="Times New Roman"/>
          <w:color w:val="000000"/>
        </w:rPr>
        <w:t>) the duty of full and frank disclosures are imposed on applicants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standard must always be fairly high considering the authorities.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brings me to the main questions in these application by EWK which is supported by CCK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Corporate Africa. In its affidavit in support of the application for leave sworn by Mr Charles Muchiri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vice chairman of KNFC, the applicant,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stated as follows: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“12. That on 19 March 2004 the first respondent, Communications Commission of Kenya, placed,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Gazette </w:t>
      </w:r>
      <w:r>
        <w:rPr>
          <w:rFonts w:ascii="Times New Roman" w:hAnsi="Times New Roman" w:cs="Times New Roman"/>
          <w:color w:val="000000"/>
          <w:sz w:val="20"/>
          <w:szCs w:val="20"/>
        </w:rPr>
        <w:t>notice number 2113 that it intended to grant a GSM licence to a company going by the name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Econet Wireless Kenya Limited of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140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post office number 79630, Nairobi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annexed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hereto and marked CM5 is a copy of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Gazette </w:t>
      </w:r>
      <w:r>
        <w:rPr>
          <w:rFonts w:ascii="Times New Roman" w:hAnsi="Times New Roman" w:cs="Times New Roman"/>
          <w:color w:val="000000"/>
          <w:sz w:val="20"/>
          <w:szCs w:val="20"/>
        </w:rPr>
        <w:t>notice).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13. T hat on the 19 August 2004, the first respondent, officially and publicly made and announced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to proceed and grant the GSM licence to Econet Wireless Kenya Limited. It never officially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communicated this decision to the applicant who only learnt of the event in the press and from the first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respondent commission’s official website.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annexed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hereto and marked CM6 is a print out from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commissions website which speaks for itself).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14. T hat on the 23 August 2004, the applicant officially complained to the first respondent of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impropriety of its action in granting the licence and also highlighted the massive flaws and fraud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awarding that licence to Econet Wireless Kenya Limited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annexed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hereto and marked CM7 is a copy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said letter).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15. T hat on 10 November 2004 despite protestations by the applicant; the first respondent issued the third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GSM licence to Econet Wireless Kenya Limited. This was done without any communication or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invitation of the applicant to the occasion. The applicant learnt about the grant of the licence in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press and from the first respondent’s official website.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annexed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hereto and marked CM8 is a copy of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print out from the said commissions website evidencing the matters herein bespoken).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16. T hat Econet Wireless Kenya Limited did not exist at the time the provisions of the third GSM licence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subjected to tender. Econet Wireless Kenya Limited did not participate or qualify for the tender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operate the third GSM system in Kenya. The successful bidder was the Econet Wireless Consortium.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17. T hat indeed Econet Wireless Kenya Limited was registered on 27 November 2003 over two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qualification of the Econet Wireless consortium.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Annexed hereto and marked CM9 is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copy of the certificate of incorporation of Econet Wireless Kenya Limited).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18. T hat Econet Wireless Limited was incorporated with a share capital of KShs one hundred thousand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only two shareholders and directors were stated as: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E lizaphason Mwaura Njiri – 1 share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P eter Kibiriti –1 share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Annexed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hereto and marked CM10 is a copy of the memorandum and articles of incorporation of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Econet Wireless Kenya Limited.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19. T hat indeed by a letter dated 11 November the Registrar of companies confirmed the position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numbers 17 and 18 above.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annexed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hereto and marked CM 11 is a copy of the letter from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Registrar of companies).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20. T hat in making the application for the licence the first respondent clearly and with an ulterior motive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represented to the Communication Commission of Kenya that it was indeed a representative of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consortium that won the tender. I state further that the second respondent, Econet Wireless Kenya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Limited masqueraded as constituting all partners of the consortium which won the tender, this was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untrue as Econet Wireless Kenya Limited is owned and directed by only two individuals; Elizaphason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Mwaura Njiri and Peter Kibiriti who had nothing to do with the tendering process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attachment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CM5).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21. T hat the first respondent by grossly abdicating its statutory duty to ensure strict compliance with legal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tender requirements and its own terms and conditions clearly abetted this anomaly and stubbornly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refused to correct the situation when the fraudulent act was brought to its attention by the applicant’s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official.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22. T hat the first respondent, Communication Commission of Kenya had a duty to satisfy itself that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shareholding and composition of Econet Wireless Kenya included and reflected all the parties that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constituted the consortium that won the tender as per its own requirement that the application included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confirmation of the shareholding by the Registrar of companies.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141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23. T hat at no time after the tender was won was the character and shareholding of the winning consortium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changed. I state further that it is now manifest that none of the partners that won the tender benefited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process clearly defeating the entire procurement process.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24. T hat given the prevailing public interest in the process the first respondent acted beyond its powers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flagrantly abused the legal provisions and its own regulations in awarding the licence to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 that was not a participant in the tender process. I state further that as presently constituted,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operation of the third GSM licence will now benefit two private individuals’ shareholders namely: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E lizaphason Mwaura Njiri – 1 share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P eter Kibiriti –1 share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contrary to public policy and cannot have been the intention of the government in deciding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 a third GSM licence to Econet Wireless Consortium which included the applicant.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...”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set out the aforesaid paragraphs in their entity as these are the facts which KNFC relied on heavily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 for leave to stay and referred to by its counsel achieving the impact and results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desired. The Court relied on these factual statements in reaching its decision to grant leave to stay.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made its decision on two major grounds: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T hat KNFC’s protestations and objections contained in its letter of 23 August 2004 were brushed aside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CCK did not at all respond to the said letter and serious issues and allegations made therein.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hat in breach of legal provisions and its own regulations and the terms and conditions of the tender,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CCK had awarded the licence to EWK yet the said company did not constitute all the 4 shareholders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consortium partners thereby changing the character and shareholding composition of the winning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consortium in breach of section 4.5 of the tender rules and conditions. And also in breach of section 3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tender document which made it mandatory that Kenyan investment in the consortium was to be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retained at a level not less than 30% of the entire investment.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application to set aside the order of stay and dismissal on the ground of non-disclosure,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suppression and concealment of material facts EWK and CCK in their respective affidavits have annexed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massive documents and correspondence which they allege were withheld and suppressed from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Court’s attention. EWK and CCK also alleged that KNFC deliberately distorted and misrepresented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applicable to the matter. It is not practical for the Court to set out all the aforesaid documents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correspondence produced by EWK and CCK and their contents. They are just too many. However, I have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gone through all of them and have understood their contents. This being a court of record, the said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and correspondence are deemed to be part of the proceedings and evidence before the Court.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CCK in an affidavit sworn by Mr Sammy Kirui the director general of CCK produced a letter dated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 August 2004 which it says was its response in detail to the allegations made by KNFC in its letter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 August 2004. It is a four page letter which is in detail and blow for blow responds to the allegations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by KNFC. Upon consideration of the contents, one gets a different picture of the allegations made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KNFC and the position of CCK. Whether the answers are wholly sufficient and sound or correct is not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issue. The crucial point is that CCK did respond to the protestations and objections by KNFC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142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an elaborate letter to it. KNFC did not disclose this fact to the Court. To the contrary KNFC expressly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affidavit and through counsel’s submission 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 asserted that CCK never responded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its letter of 23 August 2004.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KNFC did not file any affidavit to deny that it had not received the said letter. During its submissions its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admitted the existence of the said letter and argued that it did not “address” the issues raised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KNFC’s letter. As stated above herein, one of the reasons the Court granted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of leave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stay was that the Court was made to believe that CCK never responded to the letter of protestations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objections which to me was a very serious issue. It comes to light now that not only did CCK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 but it has in writing and the letter detailed. KNFC received the letter as it was addressed to it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possession of it at the time of making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application. When faced with the allegations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suppression and concealment, it had no answer and did not attempt to explain why it misled the Court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no reply from CCK. In the affidavit of Mr Zachary Wazara for EWK, the applicant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various agreements between the consortium members. One of them was titled heads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 Clause 2.2 of the agreement KNFC and EW1 stipulates as follows: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parties agree that, if the consortium is declared by the Communications Commission of Kenya to be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successful bidding entity for the project; they will form a single purpose entity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project company”) with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name Econet Wireless Kenya Limited to engage in the operation, financing; expansion and development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project”.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EWK also produced a letter dated 24 February 2004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color w:val="000000"/>
        </w:rPr>
        <w:t>correct</w:t>
      </w:r>
      <w:proofErr w:type="gramEnd"/>
      <w:r>
        <w:rPr>
          <w:rFonts w:ascii="Times New Roman" w:hAnsi="Times New Roman" w:cs="Times New Roman"/>
          <w:color w:val="000000"/>
        </w:rPr>
        <w:t xml:space="preserve"> date said to be 12 March 2004). It was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addressed to KNFC and dealt with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incorporation of EWK. In the said letter EWI explained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shareholders of the company would be: KNFC – 82%, EWI – 10%, Rapsel – 4%, Corporate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 – 4%.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EWK through the said affidavit also produced resolutions of the interim board of EWK passed in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meeting dated 9 March 2004. This resolution has been referred to earlier in this ruling. The existing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directors then were: Mr Kibiriti, representing </w:t>
      </w:r>
      <w:r>
        <w:rPr>
          <w:rFonts w:ascii="Times New Roman" w:hAnsi="Times New Roman" w:cs="Times New Roman"/>
          <w:color w:val="000000"/>
        </w:rPr>
        <w:lastRenderedPageBreak/>
        <w:t>Corporate Africa Limited and Mr Mwaura Njiri,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representing EWI.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board resolved to appoint additional directors as follows: Apollo Kariuki representing KNFC,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Nguru Wachira representing KNFC, Kariri Mbuthia representing KNFC, Manga Mugwe representing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Rapsel Limited, Zachary Wazara representing EWI and Rugare Chdembo representing EWI.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also resolutions relating to shareholdings. All the four consortium members’ interests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to be catered for. The resolution was signed by Mr Apollo Kariuki for KNFC. The heads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agreements were executed by KNFC and were quite detailed and elaborate. They dealt with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relating to shareholding. The said agreements and resolutions were not produced by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KNFC in its application for leave and stay.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response, KNFC questioned the material relevance and validity of the said documents. It did not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deny that it was aware of their existence, was party to them and they were in its possession at the time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necessary for the Court to reproduce each and every document or letter tendered by EWK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CCK in this application many of which have been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143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confirmed to have been within the knowledge of KNFC and of which it had possession.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the </w:t>
      </w:r>
      <w:r>
        <w:rPr>
          <w:rFonts w:ascii="Times New Roman" w:hAnsi="Times New Roman" w:cs="Times New Roman"/>
          <w:i/>
          <w:iCs/>
          <w:color w:val="000000"/>
        </w:rPr>
        <w:t>King v The General Commissioners for Purposes of the Income Tax Acts for the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District of Kensington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</w:rPr>
        <w:t>citation</w:t>
      </w:r>
      <w:proofErr w:type="gramEnd"/>
      <w:r>
        <w:rPr>
          <w:rFonts w:ascii="Times New Roman" w:hAnsi="Times New Roman" w:cs="Times New Roman"/>
          <w:color w:val="000000"/>
        </w:rPr>
        <w:t xml:space="preserve"> above); the Court of Appeal held:</w:t>
      </w:r>
      <w:r w:rsidR="00B64962">
        <w:rPr>
          <w:rFonts w:ascii="Times New Roman" w:hAnsi="Times New Roman" w:cs="Times New Roman"/>
          <w:color w:val="00000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1) That the rule of the Court requiring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ubberima fides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the part of an applicant for an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 w:rsidR="00B649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injunction applied equally to the case of an application for a rule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nisi </w:t>
      </w:r>
      <w:r>
        <w:rPr>
          <w:rFonts w:ascii="Times New Roman" w:hAnsi="Times New Roman" w:cs="Times New Roman"/>
          <w:color w:val="000000"/>
          <w:sz w:val="20"/>
          <w:szCs w:val="20"/>
        </w:rPr>
        <w:t>for a writ of prohibition.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 That there having been suppression of material facts by the applicant in her affidavit, the Court would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refuse a writ of prohibition without going into the merits of the case.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Cozens – Hardy MR in this landmark case said: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at 504)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a case in which it seems to me there was plainly a suppression of what was material, and we cannot be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too strict in regard to that which to the best of my belief has been a long established rule of the Court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applications of this nature and has been recognised as the rule. The authorities in the books are so strong and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numerous that I only propose to mention one which has been referred to here, a case of high authority,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Dalglish v Jarvie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1), which was decided by Lord Langdale and Rolfe B. The head-note, which I think states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rule quite accurately is this: “it is the duty of a party asking for an injunction to bring under the notice of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all facts material to the determination of his right to that injunction; and it is no excuse for him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say that he was not aware of the importance of any facts which he has omitted to bring forward. Then there is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observation in the course of the argument by Lord Langdale.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quite clear that every fact must be stated, or even if there is evidence enough to sustain the injunction,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will be dissolved.” That is to say he would not decide upon the merits, but said that if an applicant does not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act with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uberrimae fides </w:t>
      </w:r>
      <w:r>
        <w:rPr>
          <w:rFonts w:ascii="Times New Roman" w:hAnsi="Times New Roman" w:cs="Times New Roman"/>
          <w:color w:val="000000"/>
          <w:sz w:val="20"/>
          <w:szCs w:val="20"/>
        </w:rPr>
        <w:t>and put every material fact before the Court it will not grant him an injunction, even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though there might be facts upon which the injunction might be granted, but that he must come again on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fresh application”.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been asked to invoke the said principles in respect of the non-disclosures on the part of KNFC.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 careful consideration of the letters and agreements and facts referred to above and considering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other letters and documents which were left out by KNFC, I am of the view that the said letters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documents were material facts which if availed to the Court 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stage could have affected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Court. It is for the Court to decide on the ultimate materiality and extent of relevance.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for the applicants or his counsel to decide on this aspect. Considering the contents of the letter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CCK, the heads of agreement and the resolutions, I hold that they were very material and relevant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and I may possibly have reached a different decision with regard to the order of stay.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said documents and correspondence were in the possession and/or within the knowledge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KNFC, I find that there was a deliberate concealment and suppression of extremely crucial relevant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material facts. In </w:t>
      </w:r>
      <w:r>
        <w:rPr>
          <w:rFonts w:ascii="Times New Roman" w:hAnsi="Times New Roman" w:cs="Times New Roman"/>
          <w:i/>
          <w:iCs/>
          <w:color w:val="000000"/>
        </w:rPr>
        <w:t xml:space="preserve">Uhuru Highway Development Limited v Central Bank of Kenya and others </w:t>
      </w:r>
      <w:r>
        <w:rPr>
          <w:rFonts w:ascii="Times New Roman" w:hAnsi="Times New Roman" w:cs="Times New Roman"/>
          <w:color w:val="000000"/>
        </w:rPr>
        <w:t>[1995]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LLR 389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CAK), the Court of Appeal applied the principles of non-disclosure which were enunciated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Brink’s Mat Ltd v Elcombe </w:t>
      </w:r>
      <w:r>
        <w:rPr>
          <w:rFonts w:ascii="Times New Roman" w:hAnsi="Times New Roman" w:cs="Times New Roman"/>
          <w:color w:val="000000"/>
        </w:rPr>
        <w:t xml:space="preserve">[1988] All ER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CA) 188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193-194). Ralph Gibson LJ dealt with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materiality when he said: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“Whether the facts not disclosed is of sufficient materiality to justify or require immediate discharge of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without examination of the merits depends on the importance of the fact to the issues which were to be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decided by the Judge on the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144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application. The answer to the question whether the non-disclosure was innocent, in the sense that the fact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known to the applicant or that its relevance was not perceived, is an important consideration but not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decisive by reason of the duty on the applicant to make all proper inquiries and to give careful consideration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case being present”.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my view that the two grounds the basis upon which I granted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 were quite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important, namely, whether CCK had refused to consider and respond to the applicant’s objections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KNFC had CCK permitted changing of the character and shareholding of the winning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consortium by granting the licence without ensuring that KNFC was still a shareholder and its interest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protected while sustaining the minimum 30% local ownership of the consortium company, EWK. In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light of what I have found above, the non-disclosure was not innocent as KNFC had in its possession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most of the documents and letters which were produced by EWK and CCK in this application and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the ones that I have specifically mentioned. The KNFC when faced with the allegations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non-disclosure did not attempt to explain why it left out the said documents, correspondence and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but instead played down the materiality of the said matters.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KNFC argued that the Court could still maintain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granted if it found that despite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non-disclosures, the leave and stay could still be properly granted had they been disclosed or availed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Court. This aspect was considered in the </w:t>
      </w:r>
      <w:r>
        <w:rPr>
          <w:rFonts w:ascii="Times New Roman" w:hAnsi="Times New Roman" w:cs="Times New Roman"/>
          <w:i/>
          <w:iCs/>
          <w:color w:val="000000"/>
        </w:rPr>
        <w:t>Brink Mat</w:t>
      </w:r>
      <w:r>
        <w:rPr>
          <w:rFonts w:ascii="Times New Roman" w:hAnsi="Times New Roman" w:cs="Times New Roman"/>
          <w:color w:val="000000"/>
        </w:rPr>
        <w:t xml:space="preserve">’s case. It was held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194).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vii)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finally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‘it is not for every omission that the injunction will be automatically discharged.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locus</w:t>
      </w:r>
      <w:r w:rsidR="00B649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poenitentiae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sometimes be afforded’ 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Bank Mellat v Nikpour </w:t>
      </w:r>
      <w:r>
        <w:rPr>
          <w:rFonts w:ascii="Times New Roman" w:hAnsi="Times New Roman" w:cs="Times New Roman"/>
          <w:color w:val="000000"/>
          <w:sz w:val="20"/>
          <w:szCs w:val="20"/>
        </w:rPr>
        <w:t>[1985] FSR 87 at 90 per Lord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Denning MR. The Court has a discretion, notwithstanding proof of material non-disclosure which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justifies or requires the immediate discharge of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order nevertheless to continue the order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make a new order on terms: when the whole of the facts; including that of the original non-disclosure,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are before it,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Court) may well grant such a second injunction if the original non-disclosure was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innocent and if the injunction could properly be grant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 had the facts been disclosed.’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Lloyds</w:t>
      </w:r>
      <w:r w:rsidR="00B649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Bowmaker Ltd v Britannia Arrow Holdings plce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Lavens, third party) </w:t>
      </w:r>
      <w:r>
        <w:rPr>
          <w:rFonts w:ascii="Times New Roman" w:hAnsi="Times New Roman" w:cs="Times New Roman"/>
          <w:color w:val="000000"/>
          <w:sz w:val="20"/>
          <w:szCs w:val="20"/>
        </w:rPr>
        <w:t>3 All ER 178 at 183 per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Glidewell LJ).”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application, I have already held that the non-disclosure was deliberate and calculated and that had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said letters documents and facts been </w:t>
      </w:r>
      <w:r>
        <w:rPr>
          <w:rFonts w:ascii="Times New Roman" w:hAnsi="Times New Roman" w:cs="Times New Roman"/>
          <w:color w:val="000000"/>
        </w:rPr>
        <w:lastRenderedPageBreak/>
        <w:t>disclosed to me I would not possibly have granted the orders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stay. Robert Walker LJ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Memory Corporation PLC v Sidhu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number</w:t>
      </w:r>
      <w:proofErr w:type="gramEnd"/>
      <w:r>
        <w:rPr>
          <w:rFonts w:ascii="Times New Roman" w:hAnsi="Times New Roman" w:cs="Times New Roman"/>
          <w:color w:val="000000"/>
        </w:rPr>
        <w:t xml:space="preserve"> 200) 1 WLR 1443 cites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unreported case –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March Rich and Company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Holding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Krasner</w:t>
      </w:r>
      <w:r>
        <w:rPr>
          <w:rFonts w:ascii="Times New Roman" w:hAnsi="Times New Roman" w:cs="Times New Roman"/>
          <w:color w:val="000000"/>
        </w:rPr>
        <w:t>, 1988) in which Carnwath J said: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“Full disclosure must be linked with fair presentation. The Judge must be able to have complete confidence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thoroughness and objectivity of those presenting the case for the applicant. Once that confidence is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undermined he is lost”.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That’s the way I feel now, lost. The Court must insist on strict compliance with the rules pertaining to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non-disclosure in order to afford protection to the absent parties 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stage.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Finally, I come to the question of alternative remedy. EWK and CCK have strongly submitted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an alternative remedy available to KNFC under the provisions of the Kenya Communications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yet KNFC did not disclose this important fact and as such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ought to be discharged.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Kenya Communications Act, number 2 of 1998 provides: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145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1) T here shall be established an Appeal Tribunal for the purpose of arbitrating in cases where disputes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arise between the parties under this Act”.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Ransley J in the case of </w:t>
      </w:r>
      <w:r>
        <w:rPr>
          <w:rFonts w:ascii="Times New Roman" w:hAnsi="Times New Roman" w:cs="Times New Roman"/>
          <w:i/>
          <w:iCs/>
          <w:color w:val="000000"/>
        </w:rPr>
        <w:t>Kenya Telecommunications Investment Group Limited v Elecommunication 7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Commission of Kenya </w:t>
      </w:r>
      <w:r>
        <w:rPr>
          <w:rFonts w:ascii="Times New Roman" w:hAnsi="Times New Roman" w:cs="Times New Roman"/>
          <w:color w:val="000000"/>
        </w:rPr>
        <w:t>miscellaneous application number 1267 of 2003 had the occasion to interpret this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and also dealt with the question of alternative remedy. He said as follows: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alternative remedy is to be found in section 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Kenya Communications Act which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established an Appeal Tribunal for the purpose of arbitrating in cases where disputes arise between the parties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this Act. The word “dispute” is not defined in the Act but I take it that it would include a refusal to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grant a licence to anyone under section 25 of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am of the view that there is an alternative remedy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case. Is this one of those exceptional cases where judicial review proceedings should be invoked?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Nothing has been shown to me that is exceptional in this case. It might I suppose be considered to be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speedier procedure however that in itself would not be sufficient. Parliament has under the Act provided a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tribunal, which can deal with the question of the refusal of a licence. That tribunal has special expertise in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dealing with such matters. It is only if this tribunal itself fails in some ways to dispense with justice that a case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judicial review could be preferred against is decision”.</w:t>
      </w:r>
      <w:r w:rsidR="00B6496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am inclined to adopt the views of my brother in these proceedings. The KNFC and Rapsel limited here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section 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 is not available to KNFC since it is not a “party” as contemplated by the said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provisions. That being only a consortium member and not one of the bidders as EWK etc, then it could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invoke the said provision. With respect, this is not a sound argument. The tender recognised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participation of consortiums or partners in the bidding process, both local and international. It was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of CCK to maintain a certain ratio in the equity participation and as such had direct dealings with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consortium members. Indeed the correspondence and documents shown to the Court demonstrate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CCK throughout dealt with the consortium members before and after the award of the tender and did so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individually and collectively. I therefore hold that KNFC was a “party” contemplated by section 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Kenya Communications Act and could refer grievances to the tribunal.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KNFC guilty of non-disclosure of the existence of an alternative remedy and if the Court found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non-disclosure was deliberate, should it set aside or discharge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of stay on this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ground? It is true that an applicant and its counsel are requited to carry out a diligent inquiry on all facts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including the applicable law before making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application. It is a duty of an applicant to inquire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whether there exists an alternative remedy. In this case, KNFC and its counsel must have studied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Kenya Communications Act or at least the Court will assume so because the application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brought also under </w:t>
      </w:r>
      <w:r>
        <w:rPr>
          <w:rFonts w:ascii="Times New Roman" w:hAnsi="Times New Roman" w:cs="Times New Roman"/>
          <w:color w:val="000000"/>
        </w:rPr>
        <w:lastRenderedPageBreak/>
        <w:t>the provisions of the said act. So they knew of the existence of the alternative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remedy. However, in view of Mr Kahonge’s submissions it would appear that the failure to point out or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to section 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Act was not to conceal or suppress this fact but was due to a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misapprehension of the law. I hold that KNFC’s counsel sincerely believed that his client was not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invoke the provisions of section 102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64962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1). As a result, I will not make any orders on this ground.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on the basis of the reasons set out above I hold that the applicant EWK has proved that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KNFC withheld and suppressed from the attention of this Court facts relevant and material to the issues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it during the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 xml:space="preserve">Page 146 of [2004] 2 EA 128 </w:t>
      </w:r>
    </w:p>
    <w:p w:rsidR="00B64962" w:rsidRDefault="00B64962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905745" w:rsidRDefault="00905745" w:rsidP="00B649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</w:rPr>
        <w:t>HCK)</w:t>
      </w:r>
      <w:r w:rsidR="00B64962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 of the application for leave. As a result I do hereby set aside and discharge the orders of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and stay granted on 26 November 2004 in terms of prayer two of the notice of motion dated 3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2004.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order to demonstrate the seriousness with which the Court takes the issue of none disclosure in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B6496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applications, the Court hereby dismisses KNFC’s application for leave for judicial review orders in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of prayer 3.</w:t>
      </w:r>
      <w:r w:rsidR="00B6496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KNFC shall pay EWK’s, CCK’s and Corporate Africa’s costs of this application orders accordingly.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 Regeru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Njoroge Regeru &amp; Co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Karanj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second respondent: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JRA Wananda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Shapley Barret &amp; Co</w:t>
      </w:r>
    </w:p>
    <w:p w:rsidR="00905745" w:rsidRDefault="00905745" w:rsidP="00905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third respondent:</w:t>
      </w:r>
    </w:p>
    <w:p w:rsidR="00E97396" w:rsidRDefault="00905745" w:rsidP="00905745">
      <w:r>
        <w:rPr>
          <w:rFonts w:ascii="Times New Roman" w:hAnsi="Times New Roman" w:cs="Times New Roman"/>
          <w:i/>
          <w:iCs/>
          <w:color w:val="000000"/>
        </w:rPr>
        <w:t xml:space="preserve">AOW Amoko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Inamdar &amp; Inamdar Adv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45"/>
    <w:rsid w:val="00905745"/>
    <w:rsid w:val="00B64962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14637-CECF-49EC-8691-8AD90E97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8676</Words>
  <Characters>49457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2018-07-03T14:11:00Z</dcterms:created>
  <dcterms:modified xsi:type="dcterms:W3CDTF">2018-07-12T20:29:00Z</dcterms:modified>
</cp:coreProperties>
</file>