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 Sheela Supermarket Ltd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Courts of Kenya at Nairobi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23 June 2004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54/00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Azangalala AJ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law – Winding-up – Procedure – Petition presented together with verifying affidavit –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Verifying affidavit not stamped by court – Preliminary objection raised as to validity of petition –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petition complied with winding-up Rules – Rule 25 Companies (Winding-up) Rules.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64C7A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 had filed the petition seeking winding-up of the company. The petition was accompanied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verifying affidavit sworn on the 30 November 2000. The verifying affidavit was not stamped by the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No other affidavit had been filed subsequent to the filing of the petition. Counsel for Santowels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Limited, one of the opposing creditors, raised a preliminary objection to the petition on grounds that the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verifying affidavit was sworn and filed contrary to the provisions of rule 25 of the Companies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(Winding-up) Rules which requires that the verifying affidavit be filed within four days after presentation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petition.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petitioner opposed the preliminary objection arguing that any defects were curable as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creditors would suffer no prejudice.</w:t>
      </w:r>
      <w:r w:rsidR="00064C7A">
        <w:rPr>
          <w:rFonts w:ascii="Times New Roman" w:hAnsi="Times New Roman" w:cs="Times New Roman"/>
          <w:color w:val="000000"/>
        </w:rPr>
        <w:t xml:space="preserve"> </w:t>
      </w:r>
    </w:p>
    <w:p w:rsidR="00064C7A" w:rsidRDefault="00064C7A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verifying affidavit was not sworn and filed in accordance with the provisions of rule 25 of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Companies (Winding-Up) rules and the result therefore was that the petition in this case had not been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verified by an affidavit. The verifying affidavit was the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the contents of the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petition. In the absence of such evidence the petition would be struck out with costs for failure to comply</w:t>
      </w:r>
      <w:r w:rsidR="00064C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provisions of rule 25 of the Companies (Winding-up) Rules.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JM Mugo Investments Company Ltd v Mathu and another </w:t>
      </w:r>
      <w:r>
        <w:rPr>
          <w:rFonts w:ascii="Times New Roman" w:hAnsi="Times New Roman" w:cs="Times New Roman"/>
          <w:color w:val="000000"/>
        </w:rPr>
        <w:t>Nairobi High Court civil case number 192 of</w:t>
      </w:r>
    </w:p>
    <w:p w:rsidR="002D023F" w:rsidRDefault="002D023F" w:rsidP="002D0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 (UR)</w:t>
      </w:r>
    </w:p>
    <w:p w:rsidR="0021070D" w:rsidRDefault="002D023F" w:rsidP="002D023F">
      <w:r>
        <w:rPr>
          <w:rFonts w:ascii="Times New Roman" w:hAnsi="Times New Roman" w:cs="Times New Roman"/>
          <w:i/>
          <w:iCs/>
          <w:color w:val="000000"/>
        </w:rPr>
        <w:t xml:space="preserve">Jovenna East Africa Ltd v Onyango and others </w:t>
      </w:r>
      <w:r>
        <w:rPr>
          <w:rFonts w:ascii="Times New Roman" w:hAnsi="Times New Roman" w:cs="Times New Roman"/>
          <w:color w:val="000000"/>
        </w:rPr>
        <w:t>[2002] LLR 2016 (CCK)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3F"/>
    <w:rsid w:val="00064C7A"/>
    <w:rsid w:val="0021070D"/>
    <w:rsid w:val="002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1E4CF-C90A-4223-8F4C-BF520DBA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2018-07-04T12:59:00Z</dcterms:created>
  <dcterms:modified xsi:type="dcterms:W3CDTF">2018-07-12T20:27:00Z</dcterms:modified>
</cp:coreProperties>
</file>