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BE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Succession – Limited Grant</w:t>
      </w:r>
    </w:p>
    <w:p w:rsidR="009606EA" w:rsidRPr="001602BE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November 2000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1731/00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Ang’Awa J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Succession – Limited Grant – Types of limited grant – Limited grant </w:t>
      </w:r>
      <w:r>
        <w:rPr>
          <w:rFonts w:ascii="Times New Roman" w:hAnsi="Times New Roman" w:cs="Times New Roman"/>
          <w:color w:val="000000"/>
        </w:rPr>
        <w:t xml:space="preserve">ad colligenda bona </w:t>
      </w:r>
      <w:r>
        <w:rPr>
          <w:rFonts w:ascii="Times New Roman" w:hAnsi="Times New Roman" w:cs="Times New Roman"/>
          <w:i/>
          <w:iCs/>
          <w:color w:val="000000"/>
        </w:rPr>
        <w:t>– Limited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grant </w:t>
      </w:r>
      <w:r>
        <w:rPr>
          <w:rFonts w:ascii="Times New Roman" w:hAnsi="Times New Roman" w:cs="Times New Roman"/>
          <w:color w:val="000000"/>
        </w:rPr>
        <w:t xml:space="preserve">ad litem </w:t>
      </w:r>
      <w:r>
        <w:rPr>
          <w:rFonts w:ascii="Times New Roman" w:hAnsi="Times New Roman" w:cs="Times New Roman"/>
          <w:i/>
          <w:iCs/>
          <w:color w:val="000000"/>
        </w:rPr>
        <w:t>– Their purpose – Procedure – (Chapter 160) Section 67(1) – Succession Act – Rule 36 –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Probate rules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602BE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Ang’awa J was assigned the Probate Portfolio in November 2000. Being concerned with the procedure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were using to bring applications for limited grant, she requested about 30 advocates with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before her to submit on the purpose of limited grants, the various types of grants and the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to be used to come to court.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March 2000 the senior deputy registrar had issued an internal memo to all the staff in the registry of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Family Division, explaining that applications for limited grants should be brought by way of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before a single judge. The memo was issued at the directive of the judge then presiding on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probate, requiring</w:t>
      </w:r>
      <w:r>
        <w:rPr>
          <w:rFonts w:ascii="Times New Roman" w:hAnsi="Times New Roman" w:cs="Times New Roman"/>
          <w:i/>
          <w:iCs/>
          <w:color w:val="000000"/>
        </w:rPr>
        <w:t>, inter alia</w:t>
      </w:r>
      <w:r>
        <w:rPr>
          <w:rFonts w:ascii="Times New Roman" w:hAnsi="Times New Roman" w:cs="Times New Roman"/>
          <w:color w:val="000000"/>
        </w:rPr>
        <w:t>, that limited grants be by way of application before a judge.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Ang’awa J was concerned that applications and petitions for the purpose of limited grants </w:t>
      </w:r>
      <w:r>
        <w:rPr>
          <w:rFonts w:ascii="Times New Roman" w:hAnsi="Times New Roman" w:cs="Times New Roman"/>
          <w:i/>
          <w:iCs/>
          <w:color w:val="000000"/>
        </w:rPr>
        <w:t>ad litem</w:t>
      </w:r>
      <w:r w:rsidR="001602B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(for purposes of filing suit) had not been brought properly before her. On submission.</w:t>
      </w:r>
      <w:r w:rsidR="001602BE">
        <w:rPr>
          <w:rFonts w:ascii="Times New Roman" w:hAnsi="Times New Roman" w:cs="Times New Roman"/>
          <w:color w:val="000000"/>
        </w:rPr>
        <w:t xml:space="preserve"> </w:t>
      </w:r>
    </w:p>
    <w:p w:rsidR="001602BE" w:rsidRDefault="001602BE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Under section 97 of the Law of Succession Act (“the Act”), it is the Rules Committee that is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empowered to make rules pertaining to the procedure for coming into court.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general practice is for the applicant to make a petition for grant. The deputy registrar would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ensure all the necessary papers were filed and then minute the judge in charge that the matters were ready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gazzetment. Subsequently, if after 30 days no objection had been received, the registrar would minute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file and the judge would order issued the letters of administration or probate. The gazettment was not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for limited grants under section 67(1).</w:t>
      </w:r>
      <w:r w:rsidR="001602BE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are various types of limited grant, including limited grant </w:t>
      </w:r>
      <w:r>
        <w:rPr>
          <w:rFonts w:ascii="Times New Roman" w:hAnsi="Times New Roman" w:cs="Times New Roman"/>
          <w:i/>
          <w:iCs/>
          <w:color w:val="000000"/>
        </w:rPr>
        <w:t xml:space="preserve">ad colligenda bona defuncti </w:t>
      </w:r>
      <w:r>
        <w:rPr>
          <w:rFonts w:ascii="Times New Roman" w:hAnsi="Times New Roman" w:cs="Times New Roman"/>
          <w:color w:val="000000"/>
        </w:rPr>
        <w:t>and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grant </w:t>
      </w:r>
      <w:r>
        <w:rPr>
          <w:rFonts w:ascii="Times New Roman" w:hAnsi="Times New Roman" w:cs="Times New Roman"/>
          <w:i/>
          <w:iCs/>
          <w:color w:val="000000"/>
        </w:rPr>
        <w:t>ad litem</w:t>
      </w:r>
      <w:r>
        <w:rPr>
          <w:rFonts w:ascii="Times New Roman" w:hAnsi="Times New Roman" w:cs="Times New Roman"/>
          <w:color w:val="000000"/>
        </w:rPr>
        <w:t>. Only the former is exempt from the requirement for gazzettment under section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67(1) of the Act. An application for the former is brought under section 67(1) of the Act and Rule 36(1)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Probate Rules. The Applicant is required to file Form P and A 85 and Form P and A 19. In respect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grant </w:t>
      </w:r>
      <w:r>
        <w:rPr>
          <w:rFonts w:ascii="Times New Roman" w:hAnsi="Times New Roman" w:cs="Times New Roman"/>
          <w:i/>
          <w:iCs/>
          <w:color w:val="000000"/>
        </w:rPr>
        <w:t>ad litem</w:t>
      </w:r>
      <w:r>
        <w:rPr>
          <w:rFonts w:ascii="Times New Roman" w:hAnsi="Times New Roman" w:cs="Times New Roman"/>
          <w:color w:val="000000"/>
        </w:rPr>
        <w:t>, the application is brought under section 54 of the Act and paragraph 14 of the Fifth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thereto. The forms are P and A 19 and probably P and A 90 with modification.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Per curiam</w:t>
      </w:r>
      <w:r>
        <w:rPr>
          <w:rFonts w:ascii="Times New Roman" w:hAnsi="Times New Roman" w:cs="Times New Roman"/>
          <w:color w:val="000000"/>
        </w:rPr>
        <w:t>: Generally, full grants should be applied for to limit duplicity of grants. The various</w:t>
      </w:r>
      <w:r w:rsidR="001602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applications for grant </w:t>
      </w:r>
      <w:r>
        <w:rPr>
          <w:rFonts w:ascii="Times New Roman" w:hAnsi="Times New Roman" w:cs="Times New Roman"/>
          <w:i/>
          <w:iCs/>
          <w:color w:val="000000"/>
        </w:rPr>
        <w:t xml:space="preserve">ad litem </w:t>
      </w:r>
      <w:r>
        <w:rPr>
          <w:rFonts w:ascii="Times New Roman" w:hAnsi="Times New Roman" w:cs="Times New Roman"/>
          <w:color w:val="000000"/>
        </w:rPr>
        <w:t>struck out for being defective in form.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Gibbs v Roy </w:t>
      </w:r>
      <w:r>
        <w:rPr>
          <w:rFonts w:ascii="Times New Roman" w:hAnsi="Times New Roman" w:cs="Times New Roman"/>
          <w:color w:val="000000"/>
        </w:rPr>
        <w:t>85 CLJ 280</w:t>
      </w:r>
    </w:p>
    <w:p w:rsidR="009606EA" w:rsidRDefault="009606EA" w:rsidP="00960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Hadija v Iddi </w:t>
      </w:r>
      <w:r>
        <w:rPr>
          <w:rFonts w:ascii="Times New Roman" w:hAnsi="Times New Roman" w:cs="Times New Roman"/>
          <w:color w:val="000000"/>
        </w:rPr>
        <w:t>[1974] EA 50</w:t>
      </w:r>
    </w:p>
    <w:p w:rsidR="003F18BF" w:rsidRDefault="009606EA" w:rsidP="009606EA">
      <w:r>
        <w:rPr>
          <w:rFonts w:ascii="Times New Roman" w:hAnsi="Times New Roman" w:cs="Times New Roman"/>
          <w:i/>
          <w:iCs/>
          <w:color w:val="000000"/>
        </w:rPr>
        <w:t xml:space="preserve">Troustic Union International v Jane Mbeya </w:t>
      </w:r>
      <w:r>
        <w:rPr>
          <w:rFonts w:ascii="Times New Roman" w:hAnsi="Times New Roman" w:cs="Times New Roman"/>
          <w:color w:val="000000"/>
        </w:rPr>
        <w:t>CA/4590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EA"/>
    <w:rsid w:val="001602BE"/>
    <w:rsid w:val="003F18BF"/>
    <w:rsid w:val="009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71EA2-45D0-47D8-B11B-BD94307F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2018-07-05T10:54:00Z</dcterms:created>
  <dcterms:modified xsi:type="dcterms:W3CDTF">2018-07-12T20:30:00Z</dcterms:modified>
</cp:coreProperties>
</file>