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E0" w:rsidRDefault="00B56A55" w:rsidP="00B56A55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Succession – Limited Grant</w:t>
      </w:r>
      <w:r w:rsidR="00F11BE0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November 2000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1731/00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[1] Succession – Limited Grant – Types of limited grant – Limited grant </w:t>
      </w:r>
      <w:r>
        <w:rPr>
          <w:rFonts w:ascii="Times New Roman" w:hAnsi="Times New Roman" w:cs="Times New Roman"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color w:val="000000"/>
        </w:rPr>
        <w:t>colligenda</w:t>
      </w:r>
      <w:proofErr w:type="spellEnd"/>
      <w:r>
        <w:rPr>
          <w:rFonts w:ascii="Times New Roman" w:hAnsi="Times New Roman" w:cs="Times New Roman"/>
          <w:color w:val="000000"/>
        </w:rPr>
        <w:t xml:space="preserve"> bona </w:t>
      </w:r>
      <w:r>
        <w:rPr>
          <w:rFonts w:ascii="Times New Roman" w:hAnsi="Times New Roman" w:cs="Times New Roman"/>
          <w:i/>
          <w:iCs/>
          <w:color w:val="000000"/>
        </w:rPr>
        <w:t>– Limited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grant </w:t>
      </w:r>
      <w:r>
        <w:rPr>
          <w:rFonts w:ascii="Times New Roman" w:hAnsi="Times New Roman" w:cs="Times New Roman"/>
          <w:color w:val="000000"/>
        </w:rPr>
        <w:t xml:space="preserve">ad litem </w:t>
      </w:r>
      <w:r>
        <w:rPr>
          <w:rFonts w:ascii="Times New Roman" w:hAnsi="Times New Roman" w:cs="Times New Roman"/>
          <w:i/>
          <w:iCs/>
          <w:color w:val="000000"/>
        </w:rPr>
        <w:t xml:space="preserve">– Their purpose – Procedure – 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i/>
          <w:iCs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Chapter 160) Section 67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i/>
          <w:iCs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1) – Succession Act – Rule 36 –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Probate rules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11BE0">
        <w:rPr>
          <w:rFonts w:ascii="Times New Roman" w:hAnsi="Times New Roman" w:cs="Times New Roman"/>
          <w:b/>
          <w:bCs/>
          <w:color w:val="000000"/>
        </w:rPr>
        <w:t xml:space="preserve">RULING </w:t>
      </w:r>
      <w:r>
        <w:rPr>
          <w:rFonts w:ascii="Times New Roman" w:hAnsi="Times New Roman" w:cs="Times New Roman"/>
          <w:b/>
          <w:bCs/>
          <w:color w:val="000000"/>
        </w:rPr>
        <w:t xml:space="preserve">ANG’AWA J: </w:t>
      </w:r>
      <w:r>
        <w:rPr>
          <w:rFonts w:ascii="Times New Roman" w:hAnsi="Times New Roman" w:cs="Times New Roman"/>
          <w:color w:val="000000"/>
        </w:rPr>
        <w:t>All reference to section and rules refer to the Succession Act Cap. 160 unless otherwise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a) Limited grants: The problem.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was assigned to the Probate Portfolio of the High Court of Kenya at Nairobi for the month of November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2000. I noted with concern the procedure in which parties acting in person or through their advocates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come to court when applying for limited grant. This being that each applicant would file an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in order to obtain a limited grant, this position was quite different from when I last dealt with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probate matter a year ago in 1999. Secondly, I was concerned that application for limited grant was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coming into court by various rules and sections within the Succession Act Cap. 160.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instance, applicants would pray for limited grant by invoking either section 54, or section 67 or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36. There never was one uniform prayer for coming into court for a limited grant.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kindly requested about 30 advocates who have applications for limited grants pending before me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appendix to this ruling) to submit to me on the following points: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1)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</w:rPr>
        <w:t>What</w:t>
      </w:r>
      <w:proofErr w:type="gramEnd"/>
      <w:r>
        <w:rPr>
          <w:rFonts w:ascii="Times New Roman" w:hAnsi="Times New Roman" w:cs="Times New Roman"/>
          <w:color w:val="000000"/>
        </w:rPr>
        <w:t xml:space="preserve"> is the purpose of limited grants?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 b</w:t>
      </w:r>
      <w:proofErr w:type="gramEnd"/>
      <w:r>
        <w:rPr>
          <w:rFonts w:ascii="Times New Roman" w:hAnsi="Times New Roman" w:cs="Times New Roman"/>
          <w:color w:val="000000"/>
        </w:rPr>
        <w:t>) How many types of limited grants do we have?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8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 c</w:t>
      </w:r>
      <w:proofErr w:type="gramEnd"/>
      <w:r>
        <w:rPr>
          <w:rFonts w:ascii="Times New Roman" w:hAnsi="Times New Roman" w:cs="Times New Roman"/>
          <w:color w:val="000000"/>
        </w:rPr>
        <w:t>) What is the procedure to be used to come to court?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2) What is a limited grant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>
        <w:rPr>
          <w:rFonts w:ascii="Times New Roman" w:hAnsi="Times New Roman" w:cs="Times New Roman"/>
          <w:color w:val="000000"/>
        </w:rPr>
        <w:t>? What is its purpose and what procedure is used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court?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do we deal with the urgent hearing of an application and the procedure in which to come to court?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substantial laws can be relied on in support of the submission of limited grants?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497 of [2000] 2 EA 495 </w:t>
      </w:r>
      <w:r w:rsidR="00F11BE0">
        <w:rPr>
          <w:rFonts w:ascii="Times New Roman" w:hAnsi="Times New Roman" w:cs="Times New Roman"/>
          <w:color w:val="00008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8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F11BE0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b) The explanation to the problem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advocates who appeared before me chose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 Hira, Miss </w:t>
      </w:r>
      <w:proofErr w:type="spellStart"/>
      <w:r>
        <w:rPr>
          <w:rFonts w:ascii="Times New Roman" w:hAnsi="Times New Roman" w:cs="Times New Roman"/>
          <w:color w:val="000000"/>
        </w:rPr>
        <w:t>Majiwa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Nelson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Kaburu</w:t>
      </w:r>
      <w:proofErr w:type="spellEnd"/>
      <w:r>
        <w:rPr>
          <w:rFonts w:ascii="Times New Roman" w:hAnsi="Times New Roman" w:cs="Times New Roman"/>
          <w:color w:val="000000"/>
        </w:rPr>
        <w:t xml:space="preserve"> to address me on this point.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Kaburu</w:t>
      </w:r>
      <w:proofErr w:type="spellEnd"/>
      <w:r>
        <w:rPr>
          <w:rFonts w:ascii="Times New Roman" w:hAnsi="Times New Roman" w:cs="Times New Roman"/>
          <w:color w:val="000000"/>
        </w:rPr>
        <w:t xml:space="preserve"> made independent submissions as he did not entirely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with the other advocates.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The problems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One</w:t>
      </w:r>
      <w:proofErr w:type="gramEnd"/>
      <w:r>
        <w:rPr>
          <w:rFonts w:ascii="Times New Roman" w:hAnsi="Times New Roman" w:cs="Times New Roman"/>
          <w:color w:val="000000"/>
        </w:rPr>
        <w:t xml:space="preserve"> of the major problems that arose was an internal memo issued by the senior deputy registrar to all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staff in the registry of the family division. This memo is dated 22 March 2000. It was copied to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the High Court of Kenya. It was never copied to any advocates, most of whom were unaware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it. It nonetheless explained the change of procedure in dealing with limited grant.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internal memo was issued at the directive of the judge then presiding on probate and read as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a) “I wish to bring to your </w:t>
      </w:r>
      <w:r>
        <w:rPr>
          <w:rFonts w:ascii="Times New Roman" w:hAnsi="Times New Roman" w:cs="Times New Roman"/>
          <w:i/>
          <w:iCs/>
          <w:color w:val="000000"/>
        </w:rPr>
        <w:t xml:space="preserve">Notice </w:t>
      </w:r>
      <w:r>
        <w:rPr>
          <w:rFonts w:ascii="Times New Roman" w:hAnsi="Times New Roman" w:cs="Times New Roman"/>
          <w:color w:val="000000"/>
        </w:rPr>
        <w:t>that the judge now presiding on probate and administration matters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directed that before approving any newly filed matter the following should be in the file: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Death certificate of deceased and any other person may have benefited from the deceased’s estate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has passed away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example spouse, child).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Marriage certificate of a petitioning spouse or letter from chief as proof of marriage to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deceased.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 Consents from other beneficiaries. This requirements applied to Limited Grants as well.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e) Searches in respect of land belonging to a deceased person.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f) L </w:t>
      </w:r>
      <w:proofErr w:type="spellStart"/>
      <w:r>
        <w:rPr>
          <w:rFonts w:ascii="Times New Roman" w:hAnsi="Times New Roman" w:cs="Times New Roman"/>
          <w:color w:val="000000"/>
        </w:rPr>
        <w:t>imited</w:t>
      </w:r>
      <w:proofErr w:type="spellEnd"/>
      <w:r>
        <w:rPr>
          <w:rFonts w:ascii="Times New Roman" w:hAnsi="Times New Roman" w:cs="Times New Roman"/>
          <w:color w:val="000000"/>
        </w:rPr>
        <w:t xml:space="preserve"> grants to be by way of application before a judge when specific orders will be granted.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complaints to be direct to the Senior Deputy Registrar and </w:t>
      </w:r>
      <w:r>
        <w:rPr>
          <w:rFonts w:ascii="Times New Roman" w:hAnsi="Times New Roman" w:cs="Times New Roman"/>
          <w:i/>
          <w:iCs/>
          <w:color w:val="000000"/>
        </w:rPr>
        <w:t xml:space="preserve">not </w:t>
      </w:r>
      <w:r>
        <w:rPr>
          <w:rFonts w:ascii="Times New Roman" w:hAnsi="Times New Roman" w:cs="Times New Roman"/>
          <w:color w:val="000000"/>
        </w:rPr>
        <w:t>to the judge unless so directed by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Senior Deputy Registrar”.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Emphasis my own).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not certain why the purpose of this directives was issued but perhaps it may be to curtail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enormous fraud that often arises in probate matters.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advocates argued that the senior deputy registrar had in fact no powers to issue such a memo.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power lies only with the Chief Justice who is permitted to issue a practice rule note.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my attention to section 97 whereby the rules committee “may make rules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generally for the carrying out, of the purposes and provisions of [this] Act…</w:t>
      </w:r>
      <w:proofErr w:type="gramStart"/>
      <w:r>
        <w:rPr>
          <w:rFonts w:ascii="Times New Roman" w:hAnsi="Times New Roman" w:cs="Times New Roman"/>
          <w:color w:val="000000"/>
        </w:rPr>
        <w:t>”.</w:t>
      </w:r>
      <w:proofErr w:type="gramEnd"/>
      <w:r>
        <w:rPr>
          <w:rFonts w:ascii="Times New Roman" w:hAnsi="Times New Roman" w:cs="Times New Roman"/>
          <w:color w:val="000000"/>
        </w:rPr>
        <w:t xml:space="preserve"> I believe it is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committee who are empowered by the act to make rules pertaining to the procedure to coming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court, for example section 97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procedure to be followed by a court in granting probate or letters of administration”.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ii) </w:t>
      </w:r>
      <w:r>
        <w:rPr>
          <w:rFonts w:ascii="Times New Roman" w:hAnsi="Times New Roman" w:cs="Times New Roman"/>
          <w:i/>
          <w:iCs/>
          <w:color w:val="000000"/>
        </w:rPr>
        <w:t>The practice before of coming into court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past practice that had been in these courts for granting probate or letters of administration is for there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a petition made by an applicant. The deputy registrar in charge of the probate matters would ensure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correct forms have been filed. If satisfied that the file is in order the registrar would minute to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 in charge of the probate that all the papers are in order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498 of [2000] 2 EA 495 </w:t>
      </w:r>
      <w:r w:rsidR="00F11BE0">
        <w:rPr>
          <w:rFonts w:ascii="Times New Roman" w:hAnsi="Times New Roman" w:cs="Times New Roman"/>
          <w:color w:val="00008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8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F11BE0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the matter was ready for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 would give orders that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application/petition for grant should be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Thirty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30) days after the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>, the deputy registrar would make a minute in the file praying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letters of administration or probate do issue where no objections have been filed.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 would order and have issued letters of administration or probate.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same way, limited grants filed was so done by way of petition and would in fact be </w:t>
      </w:r>
      <w:proofErr w:type="spellStart"/>
      <w:r>
        <w:rPr>
          <w:rFonts w:ascii="Times New Roman" w:hAnsi="Times New Roman" w:cs="Times New Roman"/>
          <w:color w:val="000000"/>
        </w:rPr>
        <w:t>minuted</w:t>
      </w:r>
      <w:proofErr w:type="spellEnd"/>
      <w:r>
        <w:rPr>
          <w:rFonts w:ascii="Times New Roman" w:hAnsi="Times New Roman" w:cs="Times New Roman"/>
          <w:color w:val="000000"/>
        </w:rPr>
        <w:t xml:space="preserve"> in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file by the deputy registrar. The </w:t>
      </w:r>
      <w:proofErr w:type="spellStart"/>
      <w:r>
        <w:rPr>
          <w:rFonts w:ascii="Times New Roman" w:hAnsi="Times New Roman" w:cs="Times New Roman"/>
          <w:color w:val="000000"/>
        </w:rPr>
        <w:t>Honouraable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 would make orders granting that limited grant be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issued. No parties appeared before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judge. No notice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would be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under section 67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 which exempted limited grant from advertisement. This sections reads as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“No grant of representation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other than a limited grant for collection and preservation of assets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made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until there has been published notice of the application for the grant inviting objections thereto to be made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known to the court within a specified period of not less than thirty days from the date of publication and the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period so specified has expired”.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only limited grant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>are permitted to be issued without prior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advertisement. All other grants must be advertised. In fact most of the advocates who have applications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this Court want limited grant for filing suit and not for collecting on behalf of the estate. As such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pending applications for limited grant should all be struck out as being defective in form.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had brought to the advocate’s attention the case of “Anthony </w:t>
      </w:r>
      <w:proofErr w:type="spellStart"/>
      <w:r>
        <w:rPr>
          <w:rFonts w:ascii="Times New Roman" w:hAnsi="Times New Roman" w:cs="Times New Roman"/>
          <w:color w:val="000000"/>
        </w:rPr>
        <w:t>Njogu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Mureithi</w:t>
      </w:r>
      <w:proofErr w:type="spellEnd"/>
      <w:r>
        <w:rPr>
          <w:rFonts w:ascii="Times New Roman" w:hAnsi="Times New Roman" w:cs="Times New Roman"/>
          <w:color w:val="000000"/>
        </w:rPr>
        <w:t xml:space="preserve"> – deceased in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of an application for grant of letters of administration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limited) by Gladys </w:t>
      </w:r>
      <w:proofErr w:type="spellStart"/>
      <w:r>
        <w:rPr>
          <w:rFonts w:ascii="Times New Roman" w:hAnsi="Times New Roman" w:cs="Times New Roman"/>
          <w:color w:val="000000"/>
        </w:rPr>
        <w:t>Wakathi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Muthui</w:t>
      </w:r>
      <w:proofErr w:type="spellEnd"/>
      <w:r>
        <w:rPr>
          <w:rFonts w:ascii="Times New Roman" w:hAnsi="Times New Roman" w:cs="Times New Roman"/>
          <w:color w:val="000000"/>
        </w:rPr>
        <w:t xml:space="preserve"> –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mother Succession Cause Number 5 of 96 at Mombasa” in which my brother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 outlined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requirements of the Court of Appeal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Troustic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Union International and Another v Jane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Mbeyu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</w:t>
      </w:r>
      <w:r>
        <w:rPr>
          <w:rFonts w:ascii="Times New Roman" w:hAnsi="Times New Roman" w:cs="Times New Roman"/>
          <w:color w:val="000000"/>
        </w:rPr>
        <w:t xml:space="preserve">CA 4590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UR).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required that it was necessary to obtain letters of administration before an action could be brought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court.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nonetheless recommended that the procedure to be followed is that once formalities have been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 “the file is placed before the Deputy Registrar to confirm their propriety and a minute is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addressed to a judge to append his signature ... The applicant need not file chamber summons to appear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judge”.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be persuaded only on procedure by the above decision and hold that the proper format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court for a limited grant be in the same way as one would come in for a grant of probate or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letters of administration. Namely, that once a petition is filed then the deputy registrar would minute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 who would grant the orders or otherwise for a limited grant to issue.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believe this procedure was initially adopted due to the numerous applications which require to be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are filed.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iii) </w:t>
      </w:r>
      <w:r>
        <w:rPr>
          <w:rFonts w:ascii="Times New Roman" w:hAnsi="Times New Roman" w:cs="Times New Roman"/>
          <w:i/>
          <w:iCs/>
          <w:color w:val="000000"/>
        </w:rPr>
        <w:t>Urgency in bringing an application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If</w:t>
      </w:r>
      <w:proofErr w:type="gramEnd"/>
      <w:r>
        <w:rPr>
          <w:rFonts w:ascii="Times New Roman" w:hAnsi="Times New Roman" w:cs="Times New Roman"/>
          <w:color w:val="000000"/>
        </w:rPr>
        <w:t xml:space="preserve"> there is a certificate of urgency, the file should first go to the deputy registrar to minute then to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Honouraable</w:t>
      </w:r>
      <w:proofErr w:type="spellEnd"/>
      <w:r>
        <w:rPr>
          <w:rFonts w:ascii="Times New Roman" w:hAnsi="Times New Roman" w:cs="Times New Roman"/>
          <w:color w:val="000000"/>
        </w:rPr>
        <w:t xml:space="preserve"> Judge.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499 of [2000] 2 EA 495 </w:t>
      </w:r>
      <w:r w:rsidR="00F11BE0">
        <w:rPr>
          <w:rFonts w:ascii="Times New Roman" w:hAnsi="Times New Roman" w:cs="Times New Roman"/>
          <w:color w:val="00008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8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F11BE0">
        <w:rPr>
          <w:rFonts w:ascii="Times New Roman" w:hAnsi="Times New Roman" w:cs="Times New Roman"/>
          <w:color w:val="00008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iv</w:t>
      </w:r>
      <w:proofErr w:type="gramEnd"/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Limited grants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brings me to the fourth issue. Namely,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a)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How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many types of limited grants are there?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formed the impression that majority of the advocates who appeared before me were not aware of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different types of limited grants there are. Most advocates would </w:t>
      </w:r>
      <w:r>
        <w:rPr>
          <w:rFonts w:ascii="Times New Roman" w:hAnsi="Times New Roman" w:cs="Times New Roman"/>
          <w:i/>
          <w:iCs/>
          <w:color w:val="000000"/>
        </w:rPr>
        <w:t xml:space="preserve">come </w:t>
      </w:r>
      <w:r>
        <w:rPr>
          <w:rFonts w:ascii="Times New Roman" w:hAnsi="Times New Roman" w:cs="Times New Roman"/>
          <w:color w:val="000000"/>
        </w:rPr>
        <w:t>seeking for prayers for limited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 for filing suit yet their petition would be for letters limited for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>
        <w:rPr>
          <w:rFonts w:ascii="Times New Roman" w:hAnsi="Times New Roman" w:cs="Times New Roman"/>
          <w:color w:val="000000"/>
        </w:rPr>
        <w:t>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1) From the submissions made before me, the following seem to be different types of limited grant.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are: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 1</w:t>
      </w:r>
      <w:proofErr w:type="gramEnd"/>
      <w:r>
        <w:rPr>
          <w:rFonts w:ascii="Times New Roman" w:hAnsi="Times New Roman" w:cs="Times New Roman"/>
          <w:color w:val="000000"/>
        </w:rPr>
        <w:t xml:space="preserve">) Limited grants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2) Limited grant ad </w:t>
      </w:r>
      <w:proofErr w:type="spellStart"/>
      <w:r>
        <w:rPr>
          <w:rFonts w:ascii="Times New Roman" w:hAnsi="Times New Roman" w:cs="Times New Roman"/>
          <w:color w:val="000000"/>
        </w:rPr>
        <w:t>colligenda</w:t>
      </w:r>
      <w:proofErr w:type="spellEnd"/>
      <w:r>
        <w:rPr>
          <w:rFonts w:ascii="Times New Roman" w:hAnsi="Times New Roman" w:cs="Times New Roman"/>
          <w:color w:val="000000"/>
        </w:rPr>
        <w:t xml:space="preserve"> bona </w:t>
      </w:r>
      <w:proofErr w:type="spellStart"/>
      <w:r>
        <w:rPr>
          <w:rFonts w:ascii="Times New Roman" w:hAnsi="Times New Roman" w:cs="Times New Roman"/>
          <w:color w:val="000000"/>
        </w:rPr>
        <w:t>defuncti</w:t>
      </w:r>
      <w:proofErr w:type="spellEnd"/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3) Limited grant administration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pendente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lite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4) Limited grant </w:t>
      </w:r>
      <w:r>
        <w:rPr>
          <w:rFonts w:ascii="Times New Roman" w:hAnsi="Times New Roman" w:cs="Times New Roman"/>
          <w:i/>
          <w:iCs/>
          <w:color w:val="000000"/>
        </w:rPr>
        <w:t>ad litem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our Kenyan law of succession, limited grants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only be issued by the High court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Kenya sitting at Nairobi, Mombasa, Kisumu,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section 47, Rule 36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3) LN 223/92).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magistrates’ courts have jurisdiction to hear succession matters only if the respective magistrate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not less than a residence magistrate) is appointed by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to so act on behalf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Court. If that magistrate is stationed where there is a High Court in existence, then the High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has exclusive jurisdiction.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Act </w:t>
      </w:r>
      <w:proofErr w:type="spellStart"/>
      <w:r>
        <w:rPr>
          <w:rFonts w:ascii="Times New Roman" w:hAnsi="Times New Roman" w:cs="Times New Roman"/>
          <w:color w:val="000000"/>
        </w:rPr>
        <w:t>recognises</w:t>
      </w:r>
      <w:proofErr w:type="spellEnd"/>
      <w:r>
        <w:rPr>
          <w:rFonts w:ascii="Times New Roman" w:hAnsi="Times New Roman" w:cs="Times New Roman"/>
          <w:color w:val="000000"/>
        </w:rPr>
        <w:t xml:space="preserve"> that there are remote areas in Kenya where parties may wish to have estates less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to be administered. In such a situation a resident magistrate may issue letters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and grant. This would include a limited grant where the value of the estate is less than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magistrate is permitted to deal with a probate matter where the High Court is established in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station, no magistrate is allowed to hear a matter involving revocation of grant and no magistrate is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permitted to issue limited grant a</w:t>
      </w:r>
      <w:r>
        <w:rPr>
          <w:rFonts w:ascii="Times New Roman" w:hAnsi="Times New Roman" w:cs="Times New Roman"/>
          <w:i/>
          <w:iCs/>
          <w:color w:val="000000"/>
        </w:rPr>
        <w:t xml:space="preserve">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>unless it is of apparent urgency and only limited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collection of assets situated within his areas and for payment of debts. The estate is not to exceed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100 000.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states under section 54, one of the forms of grants as being limited grant “A court may,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the </w:t>
      </w:r>
      <w:r>
        <w:rPr>
          <w:rFonts w:ascii="Times New Roman" w:hAnsi="Times New Roman" w:cs="Times New Roman"/>
          <w:i/>
          <w:iCs/>
          <w:color w:val="000000"/>
        </w:rPr>
        <w:t xml:space="preserve">circumstances of each case </w:t>
      </w:r>
      <w:r>
        <w:rPr>
          <w:rFonts w:ascii="Times New Roman" w:hAnsi="Times New Roman" w:cs="Times New Roman"/>
          <w:color w:val="000000"/>
        </w:rPr>
        <w:t>limit a grant of representation which it has jurisdiction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make, in any of the forms described in the Fifth Schedule”. It seems that there is an argument that section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54 states the limited grant whilst section 67 outlines its procedure. I do not think this is the position.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most certainly a difference. This section reads: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No grant of representation other than a limited grant for collection and preservation of assets, shall be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until there has been published notice of the application for the grant …”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the probate and administration rules, it deals with limited grant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>
        <w:rPr>
          <w:rFonts w:ascii="Times New Roman" w:hAnsi="Times New Roman" w:cs="Times New Roman"/>
          <w:color w:val="000000"/>
        </w:rPr>
        <w:t>. Rule 36 reads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“36 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F11BE0" w:rsidRDefault="00B56A55" w:rsidP="00B56A55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1) Where, owing to special circumstances the urgency of the matter is so great that it would not be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possible for the court to make a full grant of representation to the person who would by law be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thereto in sufficient time to meet the necessities of the case, any person may apply to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court for the making of a grant of administration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bona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defucti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estate of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deceased”.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500 of [2000] 2 EA 495 </w:t>
      </w:r>
      <w:r w:rsidR="00F11BE0">
        <w:rPr>
          <w:rFonts w:ascii="Times New Roman" w:hAnsi="Times New Roman" w:cs="Times New Roman"/>
          <w:color w:val="00008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8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lastRenderedPageBreak/>
        <w:t>HCK)</w:t>
      </w:r>
      <w:r w:rsidR="00F11BE0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It is section 67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that describes the above rule. What then is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defuncti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above)?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able to provide the definition of this from his authorities. There are in fact two forms: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means “For collecting; as an administrator or trustee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colligendum</w:t>
      </w:r>
      <w:proofErr w:type="spellEnd"/>
      <w:r>
        <w:rPr>
          <w:rFonts w:ascii="Times New Roman" w:hAnsi="Times New Roman" w:cs="Times New Roman"/>
          <w:color w:val="000000"/>
        </w:rPr>
        <w:t>”.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 ii</w:t>
      </w:r>
      <w:proofErr w:type="gram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defuncti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means. For collecting the </w:t>
      </w:r>
      <w:r>
        <w:rPr>
          <w:rFonts w:ascii="Times New Roman" w:hAnsi="Times New Roman" w:cs="Times New Roman"/>
          <w:i/>
          <w:iCs/>
          <w:color w:val="000000"/>
        </w:rPr>
        <w:t>goods of the deceased</w:t>
      </w:r>
      <w:r>
        <w:rPr>
          <w:rFonts w:ascii="Times New Roman" w:hAnsi="Times New Roman" w:cs="Times New Roman"/>
          <w:b/>
          <w:bCs/>
          <w:color w:val="000000"/>
        </w:rPr>
        <w:t>.”</w:t>
      </w:r>
      <w:r w:rsidR="00F11BE0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therefore means that Rule 36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1) is specifically on the collection of the deceased’s goods and preserving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>under the Indian Succession Act: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 it is to the benefit of the absent or unknown next of kin, the court will direct an administrator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ad</w:t>
      </w:r>
      <w:r w:rsidR="00F11BE0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bona </w:t>
      </w:r>
      <w:r>
        <w:rPr>
          <w:rFonts w:ascii="Times New Roman" w:hAnsi="Times New Roman" w:cs="Times New Roman"/>
          <w:color w:val="000000"/>
          <w:sz w:val="20"/>
          <w:szCs w:val="20"/>
        </w:rPr>
        <w:t>... under special circumstances limited to collect the personal estate of the deceased, to give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receipts for his debts or the payment of the same, renew lease of his business premises which would expire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a general grant could be but without powers to dispose of the lease …”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aware that the Rules require that each time the court issues a limited grant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defuncti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must be recorded in a register kept at the registry.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is to file Form P and A 85, petition and form P and A 19 the affidavit which is provided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under rule 12 of the Probate and Administration Rules.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the advocates are not interested in collecting the goods of the deceased or to administrate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 perhaps. What they wish to do is to obtain a grant for purposes of filing suit.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believe they require to rely on section 54 which takes us to the Fifth Schedule of the Act. This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outlines four types of limited grant.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A) </w:t>
      </w:r>
      <w:r>
        <w:rPr>
          <w:rFonts w:ascii="Times New Roman" w:hAnsi="Times New Roman" w:cs="Times New Roman"/>
          <w:i/>
          <w:iCs/>
          <w:color w:val="000000"/>
        </w:rPr>
        <w:t xml:space="preserve">Grant limited in duration – 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i/>
          <w:iCs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paragraph 1–3)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This</w:t>
      </w:r>
      <w:proofErr w:type="gramEnd"/>
      <w:r>
        <w:rPr>
          <w:rFonts w:ascii="Times New Roman" w:hAnsi="Times New Roman" w:cs="Times New Roman"/>
          <w:color w:val="000000"/>
        </w:rPr>
        <w:t xml:space="preserve"> provides for a situation where a will is lost or misplaced, in possession of a person outside Kenya or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will that cannot be found. A limited grant under this paragraph may be issued pending the original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being found.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B) </w:t>
      </w:r>
      <w:r>
        <w:rPr>
          <w:rFonts w:ascii="Times New Roman" w:hAnsi="Times New Roman" w:cs="Times New Roman"/>
          <w:i/>
          <w:iCs/>
          <w:color w:val="000000"/>
        </w:rPr>
        <w:t>Grant for the use and benefit of others having right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executor is absent from Kenya; whether there is a will, letters of administration, will annexed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in a case of intestacy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see paragraph 4–6). Where the executors are minors or of unsound mind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paragraph 7, 9). Where a suit is pending touching validity of will. In this latter situation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paragraph 10) it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a situation known as administration </w:t>
      </w:r>
      <w:proofErr w:type="spellStart"/>
      <w:r>
        <w:rPr>
          <w:rFonts w:ascii="Times New Roman" w:hAnsi="Times New Roman" w:cs="Times New Roman"/>
          <w:color w:val="000000"/>
        </w:rPr>
        <w:t>pendente</w:t>
      </w:r>
      <w:proofErr w:type="spellEnd"/>
      <w:r>
        <w:rPr>
          <w:rFonts w:ascii="Times New Roman" w:hAnsi="Times New Roman" w:cs="Times New Roman"/>
          <w:color w:val="000000"/>
        </w:rPr>
        <w:t xml:space="preserve"> lite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3 above).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meaning of administration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pendente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lite </w:t>
      </w:r>
      <w:r>
        <w:rPr>
          <w:rFonts w:ascii="Times New Roman" w:hAnsi="Times New Roman" w:cs="Times New Roman"/>
          <w:color w:val="000000"/>
        </w:rPr>
        <w:t xml:space="preserve">is where a grantee is appointed simply to </w:t>
      </w:r>
      <w:r>
        <w:rPr>
          <w:rFonts w:ascii="Times New Roman" w:hAnsi="Times New Roman" w:cs="Times New Roman"/>
          <w:i/>
          <w:iCs/>
          <w:color w:val="000000"/>
        </w:rPr>
        <w:t>administer the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estate of the deceased during litigation. </w:t>
      </w:r>
      <w:r>
        <w:rPr>
          <w:rFonts w:ascii="Times New Roman" w:hAnsi="Times New Roman" w:cs="Times New Roman"/>
          <w:color w:val="000000"/>
        </w:rPr>
        <w:t>For instance, if the will of the deceased is being contested,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pending the determination of that dispute the court may appoint a grantee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pendente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lite </w:t>
      </w:r>
      <w:r>
        <w:rPr>
          <w:rFonts w:ascii="Times New Roman" w:hAnsi="Times New Roman" w:cs="Times New Roman"/>
          <w:color w:val="000000"/>
        </w:rPr>
        <w:t>to continue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administer the estate so as it is not wasted. The grantee is not permitted to distribute the estate but merely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 the same pending litigation.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limited grant </w:t>
      </w:r>
      <w:r>
        <w:rPr>
          <w:rFonts w:ascii="Times New Roman" w:hAnsi="Times New Roman" w:cs="Times New Roman"/>
          <w:i/>
          <w:iCs/>
          <w:color w:val="000000"/>
        </w:rPr>
        <w:t xml:space="preserve">ad litem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see 4 above) is one normally used for prosecuting or defending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begun in a court of justice. This type of grant is covered within our Succession Act in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Fifth Schedule paragraph 11–16. It has been described as a grant for special purposes.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501 of [2000] 2 EA 495 </w:t>
      </w:r>
      <w:r w:rsidR="00F11BE0">
        <w:rPr>
          <w:rFonts w:ascii="Times New Roman" w:hAnsi="Times New Roman" w:cs="Times New Roman"/>
          <w:color w:val="00008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8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F11BE0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C) </w:t>
      </w:r>
      <w:r>
        <w:rPr>
          <w:rFonts w:ascii="Times New Roman" w:hAnsi="Times New Roman" w:cs="Times New Roman"/>
          <w:i/>
          <w:iCs/>
          <w:color w:val="000000"/>
        </w:rPr>
        <w:t>Grant for special purposes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an executor is appointed for a limited purpose specified in the will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paragraph 11).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an executor gives authority to an attorney specified to a particular purpose.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sole surviving trustee dies leaving no general representative or one who is unable or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unwilling to act as such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normally referred to as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bonis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non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paragraph 20 form 87 and 19 in rule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deceased being party to a pending suit dies and the executor or the person entitled is unable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unwilling to act – a representative requires to be appointed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paragraph 14).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person to whom probate or letters of administration has been made is absent from Kenya, a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grant may be given for the purpose of enjoining a party to a suit brought against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administration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paragraph 15).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it appears to the court to be necessary or correct to appoint some person not normally entitled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administer an estate or part thereof as the court thinks fit.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grant is grants with exception.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D) </w:t>
      </w:r>
      <w:r>
        <w:rPr>
          <w:rFonts w:ascii="Times New Roman" w:hAnsi="Times New Roman" w:cs="Times New Roman"/>
          <w:i/>
          <w:iCs/>
          <w:color w:val="000000"/>
        </w:rPr>
        <w:t>Grants with exception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17, 18 and 19 provide for situation where grant be made subject to certain exceptions. Under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rules should a person intending to file suit where the deceased having been or intended to file suit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dies?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Hira </w:t>
      </w:r>
      <w:r>
        <w:rPr>
          <w:rFonts w:ascii="Times New Roman" w:hAnsi="Times New Roman" w:cs="Times New Roman"/>
          <w:color w:val="000000"/>
        </w:rPr>
        <w:t xml:space="preserve">argued that as the estate has remained </w:t>
      </w:r>
      <w:proofErr w:type="spellStart"/>
      <w:r>
        <w:rPr>
          <w:rFonts w:ascii="Times New Roman" w:hAnsi="Times New Roman" w:cs="Times New Roman"/>
          <w:color w:val="000000"/>
        </w:rPr>
        <w:t>unadministered</w:t>
      </w:r>
      <w:proofErr w:type="spellEnd"/>
      <w:r>
        <w:rPr>
          <w:rFonts w:ascii="Times New Roman" w:hAnsi="Times New Roman" w:cs="Times New Roman"/>
          <w:color w:val="000000"/>
        </w:rPr>
        <w:t xml:space="preserve">, limited grant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>is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to preserve the estate. If one applies under this grant then such a party has a right to file suit.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what I understood the arguments submitted as being.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 described this as administration </w:t>
      </w:r>
      <w:r>
        <w:rPr>
          <w:rFonts w:ascii="Times New Roman" w:hAnsi="Times New Roman" w:cs="Times New Roman"/>
          <w:i/>
          <w:iCs/>
          <w:color w:val="000000"/>
        </w:rPr>
        <w:t xml:space="preserve">ad litem. </w:t>
      </w:r>
      <w:r>
        <w:rPr>
          <w:rFonts w:ascii="Times New Roman" w:hAnsi="Times New Roman" w:cs="Times New Roman"/>
          <w:color w:val="000000"/>
        </w:rPr>
        <w:t>This is equivalent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14 of the Fifth Schedule. It is equivalent to section 222 of the Indian Succession Act of 1865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later section 251 of the same Act) and section 162 of the Judicature Act 1925 of England. The words in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three Acts are identical. Namely, administration limited to suit: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it is necessary that the representative of a deceased person be made a party to a pending suit, and the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executor or person entitled to administration is unable or unlikely to act, letters of administration may be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granted to the nominee of a party to the suit, limited for the purpose of representing the deceased herein or in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other cause or suit which may be commenced in the same, or in any other court between the parties, or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other parties touching the matters at issue in the cause or suit and until a final decree shall be made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therein and carried, into complete execution”.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Indian Succession Act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1865) section 222 was applicable in Kenya. It was considered in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Mombasa High Court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Hadija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Iddi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[1974] EA 50 by Sir </w:t>
      </w:r>
      <w:proofErr w:type="spellStart"/>
      <w:r>
        <w:rPr>
          <w:rFonts w:ascii="Times New Roman" w:hAnsi="Times New Roman" w:cs="Times New Roman"/>
          <w:color w:val="000000"/>
        </w:rPr>
        <w:t>Dermont</w:t>
      </w:r>
      <w:proofErr w:type="spellEnd"/>
      <w:r>
        <w:rPr>
          <w:rFonts w:ascii="Times New Roman" w:hAnsi="Times New Roman" w:cs="Times New Roman"/>
          <w:color w:val="000000"/>
        </w:rPr>
        <w:t xml:space="preserve"> Sheridan J.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above case, the defendant was appointed the personal representative of a deceased driver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whom a claim was to be made. The plaintiff filed suit seeking for the letters of administration be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 aside arguing that letters can only be issued when there is a </w:t>
      </w:r>
      <w:r>
        <w:rPr>
          <w:rFonts w:ascii="Times New Roman" w:hAnsi="Times New Roman" w:cs="Times New Roman"/>
          <w:i/>
          <w:iCs/>
          <w:color w:val="000000"/>
        </w:rPr>
        <w:t xml:space="preserve">pending </w:t>
      </w:r>
      <w:r>
        <w:rPr>
          <w:rFonts w:ascii="Times New Roman" w:hAnsi="Times New Roman" w:cs="Times New Roman"/>
          <w:color w:val="000000"/>
        </w:rPr>
        <w:t>suit.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held by the High Court, in interpreting section 222 of the Indian Succession Act, which is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identical to paragraph 14 of the Fifth Schedule, that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502 of [2000] 2 EA 495 </w:t>
      </w:r>
      <w:r w:rsidR="00F11BE0">
        <w:rPr>
          <w:rFonts w:ascii="Times New Roman" w:hAnsi="Times New Roman" w:cs="Times New Roman"/>
          <w:color w:val="00008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8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F11BE0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appointment of a personal representative may be made even when there was no suit pending.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The case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Gibbs v Roy </w:t>
      </w:r>
      <w:r>
        <w:rPr>
          <w:rFonts w:ascii="Times New Roman" w:hAnsi="Times New Roman" w:cs="Times New Roman"/>
          <w:color w:val="000000"/>
        </w:rPr>
        <w:t>85 CLJ 280 was considered.)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this authority was dealing with a different aspect to paragraph 14, it most certainly noted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 order to apply for a grant limited to filing suit the rule becomes applicable.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contrast, I did rule in the </w:t>
      </w:r>
      <w:r>
        <w:rPr>
          <w:rFonts w:ascii="Times New Roman" w:hAnsi="Times New Roman" w:cs="Times New Roman"/>
          <w:i/>
          <w:iCs/>
          <w:color w:val="000000"/>
        </w:rPr>
        <w:t xml:space="preserve">Estate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Nyamondi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Succession Cause </w:t>
      </w:r>
      <w:r>
        <w:rPr>
          <w:rFonts w:ascii="Times New Roman" w:hAnsi="Times New Roman" w:cs="Times New Roman"/>
          <w:color w:val="000000"/>
        </w:rPr>
        <w:t>case that the application for limited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was not entirely correct.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corporation filed suit against the deceased whilst she was still alive. The deceased died. Her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husband had predeceased her. The only person entitled to the estate were her adult children. All of them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 to take letters of administration intestate. The limitation of time in bringing a personal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was running out. The corporation applied, under a certificate of urgency, to file an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under paragraph 14 praying for this Court to appoint the children as administrators.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decline to do so as the rules requires that the corporation nominate a person to take up the letters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to the suit. This could have been the public trustee or even an advocate, which had not been done.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b) </w:t>
      </w:r>
      <w:r>
        <w:rPr>
          <w:rFonts w:ascii="Times New Roman" w:hAnsi="Times New Roman" w:cs="Times New Roman"/>
          <w:i/>
          <w:iCs/>
          <w:color w:val="000000"/>
        </w:rPr>
        <w:t>Procedure for limited grant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 find is that advocates wishing to apply for limited grant for purposes of filing suit should come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paragraph 14 of the Fifth Schedule. I would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paragraph applied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intending or proposed plaintiff.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Act is clear on the affidavit to be filed as prescribed in Rule 12, namely form P and A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19, the petition has not been prescribed to. The nearest form is the one of P and A 90 which is for grant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pendente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lite</w:t>
      </w:r>
      <w:r>
        <w:rPr>
          <w:rFonts w:ascii="Times New Roman" w:hAnsi="Times New Roman" w:cs="Times New Roman"/>
          <w:color w:val="000000"/>
        </w:rPr>
        <w:t>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is not silent on such situation. Where it comes to the forms to be applicable Rule 70 is most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helpful. It reads: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forms set out in the First Schedule, with such adaptations, additions and amendments as may be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shall, when appropriate be used in all proceeding under these Rules: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Provided that the Chief Justice may by notice in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Gazette </w:t>
      </w:r>
      <w:r>
        <w:rPr>
          <w:rFonts w:ascii="Times New Roman" w:hAnsi="Times New Roman" w:cs="Times New Roman"/>
          <w:color w:val="000000"/>
          <w:sz w:val="20"/>
          <w:szCs w:val="20"/>
        </w:rPr>
        <w:t>vary the forms and prescribe such other or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additional forms as he thinks fit”.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means that any applicant may modify, adapt or add to the form: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“Section 72 of the Interpretation and General Provision Act Cap. 2 provides that, save as is otherwise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expressly provided, whenever any form is prescribed by any written law an instrument or document which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purports to be in that form shall not be void by reason of any deviation therefrom which does not affect the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substance of the instrument or document and which is not calculated to mislead.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Although the collection of forms in this Schedule does not purport to provide for every circumstance that</w:t>
      </w:r>
      <w:r w:rsidR="00F11BE0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may arise it contains the majority of the forms which, adapted when necessary will be found to be of general</w:t>
      </w:r>
      <w:r w:rsidR="00F11BE0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use by legal practitioner and members of the public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”. 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Emphasis my own.)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therefore means that both the legal practitioner and members of the public may adopt the forms to suit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they are to bring in, if it has not been provided.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stated earlier form P and A 90 is the nearest form to which limited grants may be adopted. I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 the parties can use this with the following modification below.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attempted to outline petition for letters of administration </w:t>
      </w:r>
      <w:r>
        <w:rPr>
          <w:rFonts w:ascii="Times New Roman" w:hAnsi="Times New Roman" w:cs="Times New Roman"/>
          <w:i/>
          <w:iCs/>
          <w:color w:val="000000"/>
        </w:rPr>
        <w:t xml:space="preserve">ad litem </w:t>
      </w:r>
      <w:r>
        <w:rPr>
          <w:rFonts w:ascii="Times New Roman" w:hAnsi="Times New Roman" w:cs="Times New Roman"/>
          <w:color w:val="000000"/>
        </w:rPr>
        <w:t>with the sole purpose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suit. I have also outlined the type of grant that should normally be issued and similar to form P and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47.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Sample)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90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B)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Fifth Schedule paragraph 14, Rule 2)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Petition for letters of administration where there is a will petition for grant of letters </w:t>
      </w:r>
      <w:r>
        <w:rPr>
          <w:rFonts w:ascii="Times New Roman" w:hAnsi="Times New Roman" w:cs="Times New Roman"/>
          <w:i/>
          <w:iCs/>
          <w:color w:val="000000"/>
        </w:rPr>
        <w:t>ad litem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ad litem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Heading as in Form 1)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CD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Hereby petition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for a grant of letters of administration </w:t>
      </w:r>
      <w:r>
        <w:rPr>
          <w:rFonts w:ascii="Times New Roman" w:hAnsi="Times New Roman" w:cs="Times New Roman"/>
          <w:i/>
          <w:iCs/>
          <w:color w:val="000000"/>
        </w:rPr>
        <w:t xml:space="preserve">ad litem </w:t>
      </w:r>
      <w:r>
        <w:rPr>
          <w:rFonts w:ascii="Times New Roman" w:hAnsi="Times New Roman" w:cs="Times New Roman"/>
          <w:color w:val="000000"/>
        </w:rPr>
        <w:t>of the estate of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above named AB who died domiciled in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where) … on the …, 20 … limited to my filing suit or to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approving KL as personal representative for purpose of filing suit and without power of distribution of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estate and say as follows: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now pending in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a suit against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deceased estate, for the deceased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estate) being suit No …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case number)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present this petition in my capacity as …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 grant of administration </w:t>
      </w:r>
      <w:r>
        <w:rPr>
          <w:rFonts w:ascii="Times New Roman" w:hAnsi="Times New Roman" w:cs="Times New Roman"/>
          <w:i/>
          <w:iCs/>
          <w:color w:val="000000"/>
        </w:rPr>
        <w:t xml:space="preserve">ad litem </w:t>
      </w:r>
      <w:r>
        <w:rPr>
          <w:rFonts w:ascii="Times New Roman" w:hAnsi="Times New Roman" w:cs="Times New Roman"/>
          <w:color w:val="000000"/>
        </w:rPr>
        <w:t xml:space="preserve">do issue limited for the purpose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filing suit/defending a suit or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representing suit).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 have no powers to distribute an estate under this grant.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Signed by the above named ID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presence of EJ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Signature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 of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address)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In the presence of GH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Signature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address and description)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IJ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Signature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address and description)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Sample)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47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Paragraph 14 Fifth Schedule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grant of letters of administration </w:t>
      </w:r>
      <w:r>
        <w:rPr>
          <w:rFonts w:ascii="Times New Roman" w:hAnsi="Times New Roman" w:cs="Times New Roman"/>
          <w:color w:val="000000"/>
        </w:rPr>
        <w:t>ad litem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it known that letters of administration ad litem of all the estate of the above-named AB, late of …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died domiciled in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where) … on the … 2000, which devolves to and vests in his personal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representative but limited to the purpose only for filing suit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 as representative in suit)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court and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as in Form 41.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propose the above forms to be used.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Nonetheless as a general rule, a person entitled to a grant should not apply for a limited grant but a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 grant.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issue is whether or not limited grant should be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all grants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be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>. Section 67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 was clear on the issue of publication. The only exception are grants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>
        <w:rPr>
          <w:rFonts w:ascii="Times New Roman" w:hAnsi="Times New Roman" w:cs="Times New Roman"/>
          <w:color w:val="000000"/>
        </w:rPr>
        <w:t>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has been recommendation from the committee looking into the establishment of the Family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that all limited grants be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>, and that there must be consent from all the beneficiaries for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of such grants.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believe that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 of limited grant should be </w:t>
      </w:r>
      <w:r>
        <w:rPr>
          <w:rFonts w:ascii="Times New Roman" w:hAnsi="Times New Roman" w:cs="Times New Roman"/>
          <w:i/>
          <w:iCs/>
          <w:color w:val="000000"/>
        </w:rPr>
        <w:t xml:space="preserve">recommended </w:t>
      </w:r>
      <w:r>
        <w:rPr>
          <w:rFonts w:ascii="Times New Roman" w:hAnsi="Times New Roman" w:cs="Times New Roman"/>
          <w:color w:val="000000"/>
        </w:rPr>
        <w:t>and dealt with by the Rules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Committee. I also believe that limited grant should not issue unless it is under such special circumstances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to allow it to be so issued at the discretion of the court.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stated earlier full grants should always be applied for in order to limit duplication of grants unless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stated.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 I hold the following: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procedure in coming to court by limited grant be by way of petition and affidavit. That the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be administratively done.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 is recommended to the Rules Committee, that the consent of all concerned be obtained and that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Committee look into the issue of </w:t>
      </w:r>
      <w:proofErr w:type="spellStart"/>
      <w:r>
        <w:rPr>
          <w:rFonts w:ascii="Times New Roman" w:hAnsi="Times New Roman" w:cs="Times New Roman"/>
          <w:color w:val="000000"/>
        </w:rPr>
        <w:t>gazetting</w:t>
      </w:r>
      <w:proofErr w:type="spellEnd"/>
      <w:r>
        <w:rPr>
          <w:rFonts w:ascii="Times New Roman" w:hAnsi="Times New Roman" w:cs="Times New Roman"/>
          <w:color w:val="000000"/>
        </w:rPr>
        <w:t xml:space="preserve"> limited grants.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b) That there are two categories of types of grants.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</w:rPr>
        <w:t xml:space="preserve"> Limited grant under section 54; Fifth Schedule.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G rant in duration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ii) Grant of the use and benefit of others having rights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v) Grant for special purpose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 ) G rant with exemption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ease of clarification grant for special purpose, paragraph 14 of the Fifth Schedule is the grant </w:t>
      </w:r>
      <w:r>
        <w:rPr>
          <w:rFonts w:ascii="Times New Roman" w:hAnsi="Times New Roman" w:cs="Times New Roman"/>
          <w:i/>
          <w:iCs/>
          <w:color w:val="000000"/>
        </w:rPr>
        <w:t>ad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litem </w:t>
      </w:r>
      <w:r>
        <w:rPr>
          <w:rFonts w:ascii="Times New Roman" w:hAnsi="Times New Roman" w:cs="Times New Roman"/>
          <w:color w:val="000000"/>
        </w:rPr>
        <w:t>for filing suit.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 for use of the benefit of others includes grant of administration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pendente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lite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paragraph 11).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Grant</w:t>
      </w:r>
      <w:r w:rsidR="00F11BE0">
        <w:rPr>
          <w:rFonts w:ascii="Times New Roman" w:hAnsi="Times New Roman" w:cs="Times New Roman"/>
          <w:color w:val="000000"/>
        </w:rPr>
        <w:t xml:space="preserve"> 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F11BE0" w:rsidRDefault="00B56A55" w:rsidP="00B56A55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 ii</w:t>
      </w:r>
      <w:proofErr w:type="gram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defuncti</w:t>
      </w:r>
      <w:proofErr w:type="spellEnd"/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Grants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 xml:space="preserve">as per the </w:t>
      </w:r>
      <w:r>
        <w:rPr>
          <w:rFonts w:ascii="Times New Roman" w:hAnsi="Times New Roman" w:cs="Times New Roman"/>
          <w:i/>
          <w:iCs/>
          <w:color w:val="000000"/>
        </w:rPr>
        <w:t xml:space="preserve">Law of Succession </w:t>
      </w:r>
      <w:r>
        <w:rPr>
          <w:rFonts w:ascii="Times New Roman" w:hAnsi="Times New Roman" w:cs="Times New Roman"/>
          <w:color w:val="000000"/>
        </w:rPr>
        <w:t xml:space="preserve">by Anthony R </w:t>
      </w:r>
      <w:proofErr w:type="spellStart"/>
      <w:r>
        <w:rPr>
          <w:rFonts w:ascii="Times New Roman" w:hAnsi="Times New Roman" w:cs="Times New Roman"/>
          <w:color w:val="000000"/>
        </w:rPr>
        <w:t>Mellow’s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F11BE0">
        <w:rPr>
          <w:rFonts w:ascii="Times New Roman" w:hAnsi="Times New Roman" w:cs="Times New Roman"/>
          <w:color w:val="000000"/>
        </w:rPr>
        <w:t xml:space="preserve"> </w:t>
      </w:r>
    </w:p>
    <w:p w:rsidR="00F11BE0" w:rsidRDefault="00F11BE0" w:rsidP="00B56A55">
      <w:pPr>
        <w:rPr>
          <w:rFonts w:ascii="Times New Roman" w:hAnsi="Times New Roman" w:cs="Times New Roman"/>
          <w:color w:val="000000"/>
        </w:rPr>
      </w:pPr>
    </w:p>
    <w:p w:rsidR="003F18BF" w:rsidRDefault="00B56A55" w:rsidP="00B56A55">
      <w:r>
        <w:rPr>
          <w:rFonts w:ascii="Times New Roman" w:hAnsi="Times New Roman" w:cs="Times New Roman"/>
          <w:color w:val="000000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London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Butterworth 1973: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color w:val="000000"/>
          <w:sz w:val="20"/>
          <w:szCs w:val="20"/>
        </w:rPr>
        <w:t>This grant is intended to give the administrator power only to get in the estate of the deceased, and to do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acts as are necessary in order to preserve it, and it is usually limited in this way. A grant in these terms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does not give a power to invest money collected in, nor to sell the assets even where a sale is necessary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because the assets are wasting. It is anticipated that powers in this nature will be required, they maybe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expressly included in the grant upon application being made to the court”.</w:t>
      </w:r>
      <w:r w:rsidR="00F11B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defuncti</w:t>
      </w:r>
      <w:proofErr w:type="spellEnd"/>
      <w:r>
        <w:rPr>
          <w:rFonts w:ascii="Times New Roman" w:hAnsi="Times New Roman" w:cs="Times New Roman"/>
          <w:color w:val="000000"/>
        </w:rPr>
        <w:t>: for purpose of collecting the deceased goods.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Forms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correct forms of petition to use are: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Grant for special purposes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Modified forms duly adapted as near as possible to form P and A 90 and to form P and A 19 as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 with Rule 12.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Form 47 as modified above to issue for the letters of administration </w:t>
      </w:r>
      <w:r>
        <w:rPr>
          <w:rFonts w:ascii="Times New Roman" w:hAnsi="Times New Roman" w:cs="Times New Roman"/>
          <w:i/>
          <w:iCs/>
          <w:color w:val="000000"/>
        </w:rPr>
        <w:t>ad litem</w:t>
      </w:r>
      <w:r>
        <w:rPr>
          <w:rFonts w:ascii="Times New Roman" w:hAnsi="Times New Roman" w:cs="Times New Roman"/>
          <w:color w:val="000000"/>
        </w:rPr>
        <w:t>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ii) Grant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form P and A 85 and P and A 19 as read with Rule 12.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grant be issued on form P and A 47 as prescribed.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Recommendations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Rules Committee under section 97 that are empowered to make such rules as outlined in that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Chief Justice under Rule 70 who would prescribe the type of new forms to be used.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Nonetheless parties are permitted to adapt and modify the forms to suit their circumstances.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before me the various files as per the annexed schedule. I hereby strike out all the applications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petitions filed for purposes of filing suit as being defective in form with no orders as to costs.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be and is hereby granted for a fresh application to be filed. I thank the advocates for their most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invaluable submissions on this point.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r w:rsidR="00F11BE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Respondent:</w:t>
      </w:r>
      <w:r w:rsidR="00F11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r w:rsidR="00F11BE0">
        <w:t xml:space="preserve"> 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55"/>
    <w:rsid w:val="003F18BF"/>
    <w:rsid w:val="00B56A55"/>
    <w:rsid w:val="00F1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98BE-0304-4A05-B73B-6B32EBBB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3940</Words>
  <Characters>22463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2018-07-05T10:55:00Z</dcterms:created>
  <dcterms:modified xsi:type="dcterms:W3CDTF">2018-07-12T20:34:00Z</dcterms:modified>
</cp:coreProperties>
</file>