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0D7" w:rsidRDefault="009A70D7" w:rsidP="009A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Registered Trustees of Korea Evangelical Church v Yum Yun Hwa and</w:t>
      </w:r>
    </w:p>
    <w:p w:rsidR="009A70D7" w:rsidRDefault="009A70D7" w:rsidP="009A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another</w:t>
      </w:r>
      <w:proofErr w:type="gramEnd"/>
    </w:p>
    <w:p w:rsidR="009A70D7" w:rsidRDefault="009A70D7" w:rsidP="009A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9A70D7" w:rsidRDefault="009A70D7" w:rsidP="009A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23 December 2003</w:t>
      </w:r>
    </w:p>
    <w:p w:rsidR="009A70D7" w:rsidRDefault="009A70D7" w:rsidP="009A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80/03</w:t>
      </w:r>
    </w:p>
    <w:p w:rsidR="009A70D7" w:rsidRDefault="009A70D7" w:rsidP="009A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Mroso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9A70D7" w:rsidRDefault="009A70D7" w:rsidP="009A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A70D7" w:rsidRDefault="009A70D7" w:rsidP="009A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9A70D7" w:rsidRDefault="009A70D7" w:rsidP="009A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Record of appeal – Application seeking injunction pending revision of proceedings –</w:t>
      </w:r>
    </w:p>
    <w:p w:rsidR="009A70D7" w:rsidRDefault="009A70D7" w:rsidP="009A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Record of appeal incomplete – Whether application incompetent and to be struck out.</w:t>
      </w:r>
    </w:p>
    <w:p w:rsidR="009A70D7" w:rsidRDefault="009A70D7" w:rsidP="009A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Court of Appeal – Injunction – Procedure – Whether Court of Appeal may entertain application</w:t>
      </w:r>
    </w:p>
    <w:p w:rsidR="009A70D7" w:rsidRDefault="009A70D7" w:rsidP="009A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brought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under rule 3 – Whether rule 9(2)(b) appropriate.</w:t>
      </w:r>
    </w:p>
    <w:p w:rsidR="009A70D7" w:rsidRDefault="009A70D7" w:rsidP="00903C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903C0A" w:rsidRDefault="009A70D7" w:rsidP="00903C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LUBUVA JA: </w:t>
      </w:r>
      <w:r>
        <w:rPr>
          <w:rFonts w:ascii="Times New Roman" w:hAnsi="Times New Roman" w:cs="Times New Roman"/>
          <w:color w:val="000000"/>
        </w:rPr>
        <w:t>The application by notice of motion filed under certificate of urgency seeks to move the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for the following orders: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Court be pleased to give a protective order restraining the respondent their agents, workmen servants</w:t>
      </w:r>
      <w:r w:rsidR="00903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whoever is acting on their behalf from selling and or suing the properties which were collected and</w:t>
      </w:r>
      <w:r w:rsidR="00903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handed over to the first respondent by the second respondent wrongly pending the hearing and determination</w:t>
      </w:r>
      <w:r w:rsidR="00903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revision.</w:t>
      </w:r>
      <w:r w:rsidR="00903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 affidavit sworn by one </w:t>
      </w:r>
      <w:proofErr w:type="spellStart"/>
      <w:r>
        <w:rPr>
          <w:rFonts w:ascii="Times New Roman" w:hAnsi="Times New Roman" w:cs="Times New Roman"/>
          <w:color w:val="000000"/>
        </w:rPr>
        <w:t>Youn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Yeoun</w:t>
      </w:r>
      <w:proofErr w:type="spellEnd"/>
      <w:r>
        <w:rPr>
          <w:rFonts w:ascii="Times New Roman" w:hAnsi="Times New Roman" w:cs="Times New Roman"/>
          <w:color w:val="000000"/>
        </w:rPr>
        <w:t xml:space="preserve"> Chin, a registered trustee of the Korean Evangelical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Church, in support of the application, the background giving rise to the case is as follows: On 16 May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2003, in High Court probate and administration cause number 20 of 2001, the High Court granted the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of the first respondent, Yum Yun Hwa, </w:t>
      </w:r>
      <w:proofErr w:type="spellStart"/>
      <w:r>
        <w:rPr>
          <w:rFonts w:ascii="Times New Roman" w:hAnsi="Times New Roman" w:cs="Times New Roman"/>
          <w:color w:val="000000"/>
        </w:rPr>
        <w:t>adminisratrix</w:t>
      </w:r>
      <w:proofErr w:type="spellEnd"/>
      <w:r>
        <w:rPr>
          <w:rFonts w:ascii="Times New Roman" w:hAnsi="Times New Roman" w:cs="Times New Roman"/>
          <w:color w:val="000000"/>
        </w:rPr>
        <w:t xml:space="preserve"> of her late husband that the properties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her late husband be collected and handed over to the Court broker. The process and execution of the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collecting the properties by the Court broker aggrieved the applicants. On 30 July 2003, their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objecting to the process of collecting the properties was dismissed by the High Court. The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have filed this application seeking the above order.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commencement of hearing the application before me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Hosea</w:t>
      </w:r>
      <w:r>
        <w:rPr>
          <w:rFonts w:ascii="Times New Roman" w:hAnsi="Times New Roman" w:cs="Times New Roman"/>
          <w:color w:val="000000"/>
        </w:rPr>
        <w:t>, learned counsel for the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raised a preliminary objection upon the grounds that:</w:t>
      </w:r>
      <w:r w:rsidR="00903C0A">
        <w:rPr>
          <w:rFonts w:ascii="Times New Roman" w:hAnsi="Times New Roman" w:cs="Times New Roman"/>
          <w:color w:val="000000"/>
        </w:rPr>
        <w:t xml:space="preserve"> </w:t>
      </w:r>
    </w:p>
    <w:p w:rsidR="009A70D7" w:rsidRDefault="009A70D7" w:rsidP="00903C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application is incompetent because it has been filed under wrong and inapplicable provisions of</w:t>
      </w:r>
      <w:r w:rsidR="00903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law.</w:t>
      </w:r>
      <w:r w:rsidR="00903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orders that are sought in the application are unmaintainable in law.</w:t>
      </w:r>
      <w:r w:rsidR="00903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support of the preliminary objection,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Hosea </w:t>
      </w:r>
      <w:r>
        <w:rPr>
          <w:rFonts w:ascii="Times New Roman" w:hAnsi="Times New Roman" w:cs="Times New Roman"/>
          <w:color w:val="000000"/>
        </w:rPr>
        <w:t>submitted that after the application for stay of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execution, raising the attachment and investigation was dismissed by Luanda J on 30 July 2003, it was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open for the applicants to pursue the matter on appeal. The process of appealing, he said, was set in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motion when the notice of appeal was lodged on 6 August 2003 but the appeal was not instituted. Instead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Hosea </w:t>
      </w:r>
      <w:r>
        <w:rPr>
          <w:rFonts w:ascii="Times New Roman" w:hAnsi="Times New Roman" w:cs="Times New Roman"/>
          <w:color w:val="000000"/>
        </w:rPr>
        <w:t>further stated, the applicants apparently, filed an application for revision followed by this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injunctive orders pending hearing and determination of the intended revision. As this is a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which is more appropriate for appeal, it is improper for the applicants to invoke section 3(2) of the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appellate Jurisdiction Act of 1979 and rule 3 of the Court Rules and not rule 9(2)(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in filing the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Hosea </w:t>
      </w:r>
      <w:r>
        <w:rPr>
          <w:rFonts w:ascii="Times New Roman" w:hAnsi="Times New Roman" w:cs="Times New Roman"/>
          <w:color w:val="000000"/>
        </w:rPr>
        <w:t>contended.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correctly submitted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Mgare</w:t>
      </w:r>
      <w:proofErr w:type="spellEnd"/>
      <w:r>
        <w:rPr>
          <w:rFonts w:ascii="Times New Roman" w:hAnsi="Times New Roman" w:cs="Times New Roman"/>
          <w:color w:val="000000"/>
        </w:rPr>
        <w:t xml:space="preserve">, learned counsel, assisted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Myovela</w:t>
      </w:r>
      <w:proofErr w:type="spellEnd"/>
      <w:r>
        <w:rPr>
          <w:rFonts w:ascii="Times New Roman" w:hAnsi="Times New Roman" w:cs="Times New Roman"/>
          <w:color w:val="000000"/>
        </w:rPr>
        <w:t>, learned counsel for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applicants, this is not an application for stay of execution, it is an application for what is described as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injunctive orders. In that case, the application of rule 9(2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is irrelevant. Therefore, the competence or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 of the application cannot in my view, be grounded on the non-application of rule 9(2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Rules of 1979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Hosea </w:t>
      </w:r>
      <w:r>
        <w:rPr>
          <w:rFonts w:ascii="Times New Roman" w:hAnsi="Times New Roman" w:cs="Times New Roman"/>
          <w:color w:val="000000"/>
        </w:rPr>
        <w:t>urged me to accept. It is common knowledge that the injunctive orders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are not provided for under the rules. It is for that reasons that and as contended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Mgare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was filed under rule 3. In that situation, I do not think that the application can be said to be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incompetent on the ground, if may well be so on other grounds as I shall presently advert to. It would be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different matter if at a later stage it is found that there is no merit or otherwise in the application or the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alleged revision. I am therefore unable to accept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Hosea</w:t>
      </w:r>
      <w:r>
        <w:rPr>
          <w:rFonts w:ascii="Times New Roman" w:hAnsi="Times New Roman" w:cs="Times New Roman"/>
          <w:color w:val="000000"/>
        </w:rPr>
        <w:t>’s contention that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is incompetent on account of the fact that rule 3 was invoked instead of rule 9(2)(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in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filing it.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Hosea </w:t>
      </w:r>
      <w:r>
        <w:rPr>
          <w:rFonts w:ascii="Times New Roman" w:hAnsi="Times New Roman" w:cs="Times New Roman"/>
          <w:color w:val="000000"/>
        </w:rPr>
        <w:t>has also raised another point in ground two. It was his contention that the application is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incompetent because there is no basis upon which the application is made. According to him, there is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nothing on the record of the application to show that there is in fact an application </w:t>
      </w:r>
      <w:r>
        <w:rPr>
          <w:rFonts w:ascii="Times New Roman" w:hAnsi="Times New Roman" w:cs="Times New Roman"/>
          <w:color w:val="000000"/>
        </w:rPr>
        <w:lastRenderedPageBreak/>
        <w:t>for revision pending in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Court. As such, he further contended, the Court cannot be moved to make orders pertaining to a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matter in the Court the existence of which has not been established. He urged the Court to strike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the application on account of its being incompetent.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Mgare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Myovela</w:t>
      </w:r>
      <w:proofErr w:type="spellEnd"/>
      <w:r>
        <w:rPr>
          <w:rFonts w:ascii="Times New Roman" w:hAnsi="Times New Roman" w:cs="Times New Roman"/>
          <w:color w:val="000000"/>
        </w:rPr>
        <w:t>, learned counsel for the appellants, addressed the Court in turn. On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two of the preliminary objection, the essence of their submission was to the following effect.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it was conceded that the record of the application does not contain any document or evidence to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 that the application for revision had been filed in this Court, learned counsel sought to inform the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from the bar that revision application number 79 of 2003 was filed in this Court on unspecified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 and that it was served on the first respondent on 1 September 2003. For this reason, it was strongly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urged that the application was properly before the Court.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common ground that the record in this application does not contain any document to show that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was a revision application filed in the Court pending the </w:t>
      </w:r>
      <w:proofErr w:type="spellStart"/>
      <w:r>
        <w:rPr>
          <w:rFonts w:ascii="Times New Roman" w:hAnsi="Times New Roman" w:cs="Times New Roman"/>
          <w:color w:val="000000"/>
        </w:rPr>
        <w:t>finalisation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which the injunctive orders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sought. It goes without saying that the record in this application is incomplete. It was as a result of the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Court’s prompting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Mgare</w:t>
      </w:r>
      <w:proofErr w:type="spellEnd"/>
      <w:r>
        <w:rPr>
          <w:rFonts w:ascii="Times New Roman" w:hAnsi="Times New Roman" w:cs="Times New Roman"/>
          <w:color w:val="000000"/>
        </w:rPr>
        <w:t>, learned counsel, revealed to the Court that civil application number 79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2003 had been filed in court and that the first respondent had been served on 1 September 2003. It is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trite principle that the Court cannot take for granted the existence of certain facts on the basis of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information from the bar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Mgare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attempted to do in this case. All the more so, for the basic factors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as the existence of the revision application upon which the orders were sought. It was imperative for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applicants to ensure that this aspect was clearly brought out in the supporting affidavit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showing the number of the application and when it was filed with a copy of the application attached.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Apart from the merits of the application, the Court would then be in a position to satisfy itself on its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existence and the time when it was filed. After all, it is a requirement of the law that applications for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revision have to be filed within 60 days of the decision in respect of which revision is sought. In the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circumstances, it would be presumptuous on the part of the Court to grant the orders sought in respect of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application for revision the existence of which is not supported by any evidence. On this, with respect,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Mgare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Myovela</w:t>
      </w:r>
      <w:proofErr w:type="spellEnd"/>
      <w:r>
        <w:rPr>
          <w:rFonts w:ascii="Times New Roman" w:hAnsi="Times New Roman" w:cs="Times New Roman"/>
          <w:color w:val="000000"/>
        </w:rPr>
        <w:t>, did not attempt to give an explanation for the omission in the record of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relating to the revision application.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 before me being incomplete, I am not persuaded from the bar to assume the existence of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revision application. Accordingly, the application being incompetent, the preliminary objection raised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Hosea </w:t>
      </w:r>
      <w:r>
        <w:rPr>
          <w:rFonts w:ascii="Times New Roman" w:hAnsi="Times New Roman" w:cs="Times New Roman"/>
          <w:color w:val="000000"/>
        </w:rPr>
        <w:t>is sustained with the result that the application is struck out with costs.</w:t>
      </w:r>
      <w:r w:rsidR="00903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applicants:</w:t>
      </w:r>
    </w:p>
    <w:p w:rsidR="009A70D7" w:rsidRDefault="009A70D7" w:rsidP="009A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Mgare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Myovela</w:t>
      </w:r>
      <w:proofErr w:type="spellEnd"/>
    </w:p>
    <w:p w:rsidR="009A70D7" w:rsidRDefault="009A70D7" w:rsidP="009A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9A70D7" w:rsidRDefault="009A70D7" w:rsidP="009A7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Hosea</w:t>
      </w:r>
    </w:p>
    <w:p w:rsidR="0021070D" w:rsidRDefault="0021070D" w:rsidP="009A70D7">
      <w:bookmarkStart w:id="0" w:name="_GoBack"/>
      <w:bookmarkEnd w:id="0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D7"/>
    <w:rsid w:val="0021070D"/>
    <w:rsid w:val="00903C0A"/>
    <w:rsid w:val="009A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98448-1F8F-4D76-82A8-C049D785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2018-07-04T12:58:00Z</dcterms:created>
  <dcterms:modified xsi:type="dcterms:W3CDTF">2018-07-12T20:21:00Z</dcterms:modified>
</cp:coreProperties>
</file>