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A33" w:rsidRDefault="00113A33" w:rsidP="00113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Republic and others v Attorney General and another</w:t>
      </w:r>
    </w:p>
    <w:p w:rsidR="00113A33" w:rsidRDefault="00113A33" w:rsidP="00113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113A33" w:rsidRDefault="00113A33" w:rsidP="00113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4 March 2005</w:t>
      </w:r>
    </w:p>
    <w:p w:rsidR="00113A33" w:rsidRDefault="00113A33" w:rsidP="00113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769/04</w:t>
      </w:r>
    </w:p>
    <w:p w:rsidR="00113A33" w:rsidRDefault="00113A33" w:rsidP="00113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Nyamu and Ibrahim JJ</w:t>
      </w:r>
    </w:p>
    <w:p w:rsidR="00113A33" w:rsidRDefault="00113A33" w:rsidP="00113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113A33" w:rsidRDefault="00113A33" w:rsidP="00113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E Ongoya</w:t>
      </w:r>
    </w:p>
    <w:p w:rsidR="00113A33" w:rsidRDefault="00113A33" w:rsidP="00113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Judicial review – Grounds for judicial review – Procedural fairness – Legitimate expectation –</w:t>
      </w:r>
    </w:p>
    <w:p w:rsidR="00113A33" w:rsidRDefault="00113A33" w:rsidP="00113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Irrelevant consideration – Illegality – Unreasonableness – Bias – Abuse of Power – Bad Faith –</w:t>
      </w:r>
    </w:p>
    <w:p w:rsidR="00113A33" w:rsidRDefault="00113A33" w:rsidP="00113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Procedural Impropriety – Duty to act fairly.</w:t>
      </w:r>
    </w:p>
    <w:p w:rsidR="00113A33" w:rsidRDefault="00113A33" w:rsidP="00113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8B16B7" w:rsidRDefault="00113A33" w:rsidP="008B16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applicants sought orders of Judicial Review to remove into the court for purposes of being quashed</w:t>
      </w:r>
      <w:r w:rsidR="008B16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decision made by the Registrar of Societies on 6 February 2004 under section 12 of the Societies Act</w:t>
      </w:r>
      <w:r w:rsidR="008B16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Chapter 108 cancelling the registration of the applicants’ Certificate of Registration and registering in</w:t>
      </w:r>
      <w:r w:rsidR="008B16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</w:t>
      </w:r>
      <w:r w:rsidR="008B16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place the Kenya Schools Head Teachers Association. On 12 June 2003, the applicants had founded the</w:t>
      </w:r>
      <w:r w:rsidR="008B16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Kenya National Association of Primary Schools Head Teachers and applied for registration. On 11</w:t>
      </w:r>
      <w:r w:rsidR="008B16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December 2003, the society had been registered under the Societies Act. On 6 February 2004, the</w:t>
      </w:r>
      <w:r w:rsidR="008B16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Registrar of Societies in purported exercise of power vested under section 12 of the Societies Act</w:t>
      </w:r>
      <w:r w:rsidR="008B16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cancelled the registration of the society by a notification of cancellation.</w:t>
      </w:r>
      <w:r w:rsidR="008B16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no time prior to the cancellation was any communication made to the applicants of the intended</w:t>
      </w:r>
      <w:r w:rsidR="008B16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cancellation nor were the applicants given any notice calling upon it to show cause why it should not be</w:t>
      </w:r>
      <w:r w:rsidR="008B16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deregistered. In addition, at no time prior to the said cancellation were the applicants afforded an</w:t>
      </w:r>
      <w:r w:rsidR="008B16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opportunity to be heard or to make any representations on the issue of recognition by the Ministry of</w:t>
      </w:r>
      <w:r w:rsidR="008B16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Education, Science and Technology which was the basis for the deregistration of the applicants’ society</w:t>
      </w:r>
      <w:r w:rsidR="008B16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registration of a rival organization by the name of Kenya Primary Schools Head Teachers</w:t>
      </w:r>
      <w:r w:rsidR="008B16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Association which the applicants and their members were advised to join. The applicants claimed that the</w:t>
      </w:r>
      <w:r w:rsidR="008B16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 to deregister them was arbitrary, unfair, unreasonable and without any basis in law or fact.</w:t>
      </w:r>
      <w:r w:rsidR="008B16B7">
        <w:rPr>
          <w:rFonts w:ascii="Times New Roman" w:hAnsi="Times New Roman" w:cs="Times New Roman"/>
          <w:color w:val="000000"/>
        </w:rPr>
        <w:t xml:space="preserve"> </w:t>
      </w:r>
    </w:p>
    <w:p w:rsidR="008B16B7" w:rsidRDefault="008B16B7" w:rsidP="008B16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13A33" w:rsidRDefault="00113A33" w:rsidP="008B16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registration and the award of a certificate of registration did create a protected interest in</w:t>
      </w:r>
      <w:r w:rsidR="008B16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favour of the applicants to remain a registered society and, therefore, the applicants were perfectly</w:t>
      </w:r>
      <w:r w:rsidR="008B16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entitled to safeguard that interest.</w:t>
      </w:r>
      <w:r w:rsidR="008B16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12 of the Societies Act did not exclude the application of rules of natural justice and in</w:t>
      </w:r>
      <w:r w:rsidR="008B16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particular the </w:t>
      </w:r>
      <w:r>
        <w:rPr>
          <w:rFonts w:ascii="Times New Roman" w:hAnsi="Times New Roman" w:cs="Times New Roman"/>
          <w:i/>
          <w:iCs/>
          <w:color w:val="000000"/>
        </w:rPr>
        <w:t xml:space="preserve">audi alteram partem </w:t>
      </w:r>
      <w:r>
        <w:rPr>
          <w:rFonts w:ascii="Times New Roman" w:hAnsi="Times New Roman" w:cs="Times New Roman"/>
          <w:color w:val="000000"/>
        </w:rPr>
        <w:t xml:space="preserve">rule. </w:t>
      </w:r>
      <w:r>
        <w:rPr>
          <w:rFonts w:ascii="Times New Roman" w:hAnsi="Times New Roman" w:cs="Times New Roman"/>
          <w:i/>
          <w:iCs/>
          <w:color w:val="000000"/>
        </w:rPr>
        <w:t xml:space="preserve">Ridge v Baldwin </w:t>
      </w:r>
      <w:r>
        <w:rPr>
          <w:rFonts w:ascii="Times New Roman" w:hAnsi="Times New Roman" w:cs="Times New Roman"/>
          <w:color w:val="000000"/>
        </w:rPr>
        <w:t>[HL 1964] followed.</w:t>
      </w:r>
      <w:r w:rsidR="008B16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Registrar of Societies should have given reasons for his action and was under a duty to do so,</w:t>
      </w:r>
      <w:r w:rsidR="008B16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more so because the applicants after registration had also acquired a legitimate expectation duly induced</w:t>
      </w:r>
      <w:r w:rsidR="008B16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Registrar by virtue of the issue to them of a certificate of registration.</w:t>
      </w:r>
      <w:r w:rsidR="008B16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 is an implied duty of fairness attached to all administrative acts. </w:t>
      </w:r>
      <w:r>
        <w:rPr>
          <w:rFonts w:ascii="Times New Roman" w:hAnsi="Times New Roman" w:cs="Times New Roman"/>
          <w:i/>
          <w:iCs/>
          <w:color w:val="000000"/>
        </w:rPr>
        <w:t>CCSU v The Minister for Civil</w:t>
      </w:r>
      <w:r w:rsidR="008B16B7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Service </w:t>
      </w:r>
      <w:r>
        <w:rPr>
          <w:rFonts w:ascii="Times New Roman" w:hAnsi="Times New Roman" w:cs="Times New Roman"/>
          <w:color w:val="000000"/>
        </w:rPr>
        <w:t xml:space="preserve">[HL 1984] and </w:t>
      </w:r>
      <w:r>
        <w:rPr>
          <w:rFonts w:ascii="Times New Roman" w:hAnsi="Times New Roman" w:cs="Times New Roman"/>
          <w:i/>
          <w:iCs/>
          <w:color w:val="000000"/>
        </w:rPr>
        <w:t xml:space="preserve">Doody v The Home Secretary </w:t>
      </w:r>
      <w:r>
        <w:rPr>
          <w:rFonts w:ascii="Times New Roman" w:hAnsi="Times New Roman" w:cs="Times New Roman"/>
          <w:color w:val="000000"/>
        </w:rPr>
        <w:t>[HL 1993] followed.</w:t>
      </w:r>
      <w:r w:rsidR="008B16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Taking into account an irrelevant consideration invites the court’s intervention in Judicial Review.</w:t>
      </w:r>
      <w:r w:rsidR="008B16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Associated Provincial Picture Houses Limited v Wednesbury COP </w:t>
      </w:r>
      <w:r>
        <w:rPr>
          <w:rFonts w:ascii="Times New Roman" w:hAnsi="Times New Roman" w:cs="Times New Roman"/>
          <w:color w:val="000000"/>
        </w:rPr>
        <w:t xml:space="preserve">civil appeal 1948 and </w:t>
      </w:r>
      <w:r>
        <w:rPr>
          <w:rFonts w:ascii="Times New Roman" w:hAnsi="Times New Roman" w:cs="Times New Roman"/>
          <w:i/>
          <w:iCs/>
          <w:color w:val="000000"/>
        </w:rPr>
        <w:t>Padfield v</w:t>
      </w:r>
      <w:r w:rsidR="008B16B7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Minister of Agriculture and Fisheries </w:t>
      </w:r>
      <w:r>
        <w:rPr>
          <w:rFonts w:ascii="Times New Roman" w:hAnsi="Times New Roman" w:cs="Times New Roman"/>
          <w:color w:val="000000"/>
        </w:rPr>
        <w:t>[HL 1968] followed.</w:t>
      </w:r>
      <w:r w:rsidR="008B16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Unlawful behaviour might be constituted by:</w:t>
      </w:r>
      <w:r w:rsidR="008B16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 outright refusal to consider the relevant matter;</w:t>
      </w:r>
      <w:r w:rsidR="008B16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 misdirection on a point of law;</w:t>
      </w:r>
      <w:r w:rsidR="008B16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Taking into account some wholly irrelevant or extraneous consideration;</w:t>
      </w:r>
      <w:r w:rsidR="008B16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 Wholly omitting to take into account a relevant consideration.</w:t>
      </w:r>
      <w:r w:rsidR="008B16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development of Judicial Review bias and unreasonableness have been recognised as grounds</w:t>
      </w:r>
      <w:r w:rsidR="008B16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stand alone in assisting the courts to deal with challenged decisions.</w:t>
      </w:r>
      <w:r w:rsidR="008B16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Failure to give reasons for what is patently lack of evenhandedness on the part of the decision maker</w:t>
      </w:r>
      <w:r w:rsidR="008B16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does constitute procedural impropriety.</w:t>
      </w:r>
      <w:r w:rsidR="008B16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Courts will not in cases where bad faith is proven to exist in influencing a decision, hesitate to take up</w:t>
      </w:r>
      <w:r w:rsidR="008B16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same as a valid ground of argument in quashing the decision.</w:t>
      </w:r>
      <w:r w:rsidR="008B16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legitimate expectation arises where a person responsible for taking a decision has induced in</w:t>
      </w:r>
      <w:r w:rsidR="008B16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someone who may be affected by the decision a reasonable expectation that he will receive or retain a</w:t>
      </w:r>
      <w:r w:rsidR="008B16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benefit or that he will be granted hearing before the decision is taken. </w:t>
      </w:r>
      <w:r>
        <w:rPr>
          <w:rFonts w:ascii="Times New Roman" w:hAnsi="Times New Roman" w:cs="Times New Roman"/>
          <w:i/>
          <w:iCs/>
          <w:color w:val="000000"/>
        </w:rPr>
        <w:t>Schmidt v Secretary of State for</w:t>
      </w:r>
      <w:r w:rsidR="008B16B7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Home Affairs </w:t>
      </w:r>
      <w:r>
        <w:rPr>
          <w:rFonts w:ascii="Times New Roman" w:hAnsi="Times New Roman" w:cs="Times New Roman"/>
          <w:color w:val="000000"/>
        </w:rPr>
        <w:t xml:space="preserve">[1969] 2 Ch 14 and </w:t>
      </w:r>
      <w:r>
        <w:rPr>
          <w:rFonts w:ascii="Times New Roman" w:hAnsi="Times New Roman" w:cs="Times New Roman"/>
          <w:i/>
          <w:iCs/>
          <w:color w:val="000000"/>
        </w:rPr>
        <w:t xml:space="preserve">Council of Civil Services Unions v Minister for Civil Service </w:t>
      </w:r>
      <w:r>
        <w:rPr>
          <w:rFonts w:ascii="Times New Roman" w:hAnsi="Times New Roman" w:cs="Times New Roman"/>
          <w:color w:val="000000"/>
        </w:rPr>
        <w:t>1985 AC</w:t>
      </w:r>
    </w:p>
    <w:p w:rsidR="00113A33" w:rsidRDefault="00113A33" w:rsidP="00113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374 followed.</w:t>
      </w:r>
    </w:p>
    <w:p w:rsidR="00113A33" w:rsidRDefault="00113A33" w:rsidP="00113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duty to give reasons would be implied in the following situations:</w:t>
      </w:r>
    </w:p>
    <w:p w:rsidR="00113A33" w:rsidRDefault="00113A33" w:rsidP="00113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Where the decision involved an interest which was highly regarded in law;</w:t>
      </w:r>
    </w:p>
    <w:p w:rsidR="00113A33" w:rsidRDefault="00113A33" w:rsidP="00113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Where the nature of the process required reasons to be given;</w:t>
      </w:r>
    </w:p>
    <w:p w:rsidR="00113A33" w:rsidRDefault="00113A33" w:rsidP="00113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From the circumstances of the individual case.</w:t>
      </w:r>
    </w:p>
    <w:p w:rsidR="00113A33" w:rsidRDefault="00113A33" w:rsidP="00113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 xml:space="preserve">Obiter </w:t>
      </w:r>
      <w:r>
        <w:rPr>
          <w:rFonts w:ascii="Times New Roman" w:hAnsi="Times New Roman" w:cs="Times New Roman"/>
          <w:color w:val="000000"/>
        </w:rPr>
        <w:t>– The court would be prepared to extend the ground of intervention to decisions made under the</w:t>
      </w:r>
      <w:r w:rsidR="008B16B7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shadow of corruption or abuse of office. Absence of reasons or irrationality of a decision could suggest</w:t>
      </w:r>
    </w:p>
    <w:p w:rsidR="00113A33" w:rsidRDefault="00113A33" w:rsidP="00113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such a conclusion.</w:t>
      </w:r>
    </w:p>
    <w:p w:rsidR="00113A33" w:rsidRDefault="00113A33" w:rsidP="00113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very act of registration and the issue of a certificate of registration by the decision maker, namely</w:t>
      </w:r>
    </w:p>
    <w:p w:rsidR="00113A33" w:rsidRDefault="00113A33" w:rsidP="00113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Registrar gave the applicant a legitimate expectation to a hearing which is not to be thwarted.</w:t>
      </w:r>
    </w:p>
    <w:p w:rsidR="00113A33" w:rsidRDefault="00113A33" w:rsidP="00113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 allowed.</w:t>
      </w:r>
    </w:p>
    <w:p w:rsidR="00113A33" w:rsidRDefault="00113A33" w:rsidP="00113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113A33" w:rsidRDefault="00113A33" w:rsidP="00113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113A33" w:rsidRDefault="00113A33" w:rsidP="00113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113A33" w:rsidRDefault="00113A33" w:rsidP="00113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113A33" w:rsidRDefault="00113A33" w:rsidP="00113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113A33" w:rsidRDefault="00113A33" w:rsidP="00113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Associated Provincial Picture Houses Limited v Wednesbury Cop </w:t>
      </w:r>
      <w:r>
        <w:rPr>
          <w:rFonts w:ascii="Times New Roman" w:hAnsi="Times New Roman" w:cs="Times New Roman"/>
          <w:color w:val="000000"/>
        </w:rPr>
        <w:t xml:space="preserve">civil appeal 1948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113A33" w:rsidRDefault="00113A33" w:rsidP="00113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CCSU v The Minister For Civil Service </w:t>
      </w:r>
      <w:r>
        <w:rPr>
          <w:rFonts w:ascii="Times New Roman" w:hAnsi="Times New Roman" w:cs="Times New Roman"/>
          <w:color w:val="000000"/>
        </w:rPr>
        <w:t xml:space="preserve">[HL 1984]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113A33" w:rsidRDefault="00113A33" w:rsidP="00113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Doody v The Home Secretary </w:t>
      </w:r>
      <w:r>
        <w:rPr>
          <w:rFonts w:ascii="Times New Roman" w:hAnsi="Times New Roman" w:cs="Times New Roman"/>
          <w:color w:val="000000"/>
        </w:rPr>
        <w:t xml:space="preserve">[HL 1993]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113A33" w:rsidRDefault="00113A33" w:rsidP="00113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Padfield v Minister of Agriculture and Fisheries </w:t>
      </w:r>
      <w:r>
        <w:rPr>
          <w:rFonts w:ascii="Times New Roman" w:hAnsi="Times New Roman" w:cs="Times New Roman"/>
          <w:color w:val="000000"/>
        </w:rPr>
        <w:t xml:space="preserve">[HL 1968]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113A33" w:rsidRDefault="00113A33" w:rsidP="00113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 v Higher Education Funding Council ex parte Institute of Dental Surgery </w:t>
      </w:r>
      <w:r>
        <w:rPr>
          <w:rFonts w:ascii="Times New Roman" w:hAnsi="Times New Roman" w:cs="Times New Roman"/>
          <w:color w:val="000000"/>
        </w:rPr>
        <w:t>civil appeal 1994</w:t>
      </w:r>
    </w:p>
    <w:p w:rsidR="00113A33" w:rsidRDefault="00113A33" w:rsidP="00113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Ridge v Baldwn </w:t>
      </w:r>
      <w:r>
        <w:rPr>
          <w:rFonts w:ascii="Times New Roman" w:hAnsi="Times New Roman" w:cs="Times New Roman"/>
          <w:color w:val="000000"/>
        </w:rPr>
        <w:t xml:space="preserve">[HL 1964]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113A33" w:rsidRDefault="00113A33" w:rsidP="00113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AB7022" w:rsidRDefault="00113A33" w:rsidP="00113A33">
      <w:r>
        <w:rPr>
          <w:rFonts w:ascii="Times New Roman" w:hAnsi="Times New Roman" w:cs="Times New Roman"/>
          <w:i/>
          <w:iCs/>
          <w:color w:val="000000"/>
        </w:rPr>
        <w:t xml:space="preserve">Council of Civil Services Unions v Minister For Civil Service </w:t>
      </w:r>
      <w:r>
        <w:rPr>
          <w:rFonts w:ascii="Times New Roman" w:hAnsi="Times New Roman" w:cs="Times New Roman"/>
          <w:color w:val="000000"/>
        </w:rPr>
        <w:t>1985 AC 374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A33"/>
    <w:rsid w:val="00113A33"/>
    <w:rsid w:val="008B16B7"/>
    <w:rsid w:val="00AB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D28C6-78CE-4B70-9C1E-D5AAF1DA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2018-07-05T08:38:00Z</dcterms:created>
  <dcterms:modified xsi:type="dcterms:W3CDTF">2018-07-12T20:22:00Z</dcterms:modified>
</cp:coreProperties>
</file>