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Republic and others v Attorney General and another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March 2005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769/04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and Ibrahim JJ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Grounds for judicial review – Procedural fairness – Legitimate expectation –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Irrelevant consideration – Illegality – Unreasonableness – Bias – Abuse of Power – Bad Faith –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Procedural Impropriety – Duty to act fairly.</w:t>
      </w:r>
    </w:p>
    <w:p w:rsidR="00C74451" w:rsidRDefault="007707F4" w:rsidP="007707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Ibrahim JJ</w:t>
      </w:r>
      <w:r>
        <w:rPr>
          <w:rFonts w:ascii="Times New Roman" w:hAnsi="Times New Roman" w:cs="Times New Roman"/>
          <w:color w:val="000000"/>
        </w:rPr>
        <w:t xml:space="preserve">: This is an application for Judicial Review. It seeks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to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remove into this Court for the purpose of being quashed the decision made by the Registrar of Societies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6 February 2004 under section 12 of the Societies Act Chapter 108 cancelling the registration of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applicant’s certificate of Registration number 23080 and registering in their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place, the Kenya Schools Head Teachers Association. Also sought is an order of mandamus to compel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Registrar of Societies to reinstate the applicant’s certificate of Registration number 23080. The third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sought is the usual one on costs.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application is only partially opposed the first respondent and second respondent having failed to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 any replying affidavits. Although there is no provision for the filing of grounds of opposition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interested party did file them on 9 December 2004 after they had been enjoined as parties. There was no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representation on the part of the two respondents and the interested party during the hearing on 22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2005.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of oppositions are: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(1) That the application is incompetent and incurably defective.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That the application is bad in law.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That the orders sought by the applicants cannot be issued by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against the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second</w:t>
      </w:r>
      <w:proofErr w:type="gramEnd"/>
      <w:r>
        <w:rPr>
          <w:rFonts w:ascii="Times New Roman" w:hAnsi="Times New Roman" w:cs="Times New Roman"/>
          <w:color w:val="000000"/>
        </w:rPr>
        <w:t xml:space="preserve"> respondent.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(4) That the applicant has no statutory duty to reinstate deregistered Societies hence orders sought by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applicants will be ultra vires the Societies Act Chapter 104 the Laws of Kenya.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(5) The allegations contained in the supporting affidavit and the statement dated 16 June 2004 are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baseless</w:t>
      </w:r>
      <w:proofErr w:type="gramEnd"/>
      <w:r>
        <w:rPr>
          <w:rFonts w:ascii="Times New Roman" w:hAnsi="Times New Roman" w:cs="Times New Roman"/>
          <w:color w:val="000000"/>
        </w:rPr>
        <w:t xml:space="preserve"> and misleading.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brief outline of the facts is that on 12 June 2003 the applicants founded the Kenya National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Association of Primary School Head Teachers (KNAPSHET) and applied for registration.</w:t>
      </w:r>
    </w:p>
    <w:p w:rsidR="00C74451" w:rsidRDefault="00C74451" w:rsidP="00770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On 11 December 2003 the Society was duly registered under the Societies Act Chapter 108 and a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of Registration number 23080 issued.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6 February 2004 the Registrar of Societies in purported exercise of powers vested in her under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12 of the Societies Act cancelled the registration of the Society by a Notification of cancellation.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contend that at no time prior to the said cancellation was any communication made to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of the intended cancellation nor were the applicants given any notice calling upon it to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show </w:t>
      </w:r>
      <w:proofErr w:type="gramStart"/>
      <w:r>
        <w:rPr>
          <w:rFonts w:ascii="Times New Roman" w:hAnsi="Times New Roman" w:cs="Times New Roman"/>
          <w:color w:val="000000"/>
        </w:rPr>
        <w:t>cause</w:t>
      </w:r>
      <w:proofErr w:type="gramEnd"/>
      <w:r>
        <w:rPr>
          <w:rFonts w:ascii="Times New Roman" w:hAnsi="Times New Roman" w:cs="Times New Roman"/>
          <w:color w:val="000000"/>
        </w:rPr>
        <w:t xml:space="preserve"> why it should not be deregistered.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addition at no time prior to the said cancellation were the applicants afforded an opportunity to be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heard or to make representations on the issue of recognition by the Ministry of Education Science and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Technology which was the basis for the deregistration of the applicant’s society and the registration of a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rival organization by the name of Kenya Primary Schools Head Teachers Association which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and their members were advised to join. The rival association which had applied for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registration much later was registered on 9 February 2004 barely 3 days after </w:t>
      </w:r>
      <w:proofErr w:type="gramStart"/>
      <w:r>
        <w:rPr>
          <w:rFonts w:ascii="Times New Roman" w:hAnsi="Times New Roman" w:cs="Times New Roman"/>
          <w:color w:val="000000"/>
        </w:rPr>
        <w:t>the deregistration</w:t>
      </w:r>
      <w:proofErr w:type="gramEnd"/>
      <w:r>
        <w:rPr>
          <w:rFonts w:ascii="Times New Roman" w:hAnsi="Times New Roman" w:cs="Times New Roman"/>
          <w:color w:val="000000"/>
        </w:rPr>
        <w:t xml:space="preserve"> of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claim that the decision to deregister their society was arbitrary, unfair, unreasonable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without any basis in law or fact as the applicants Association was duly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Ministry of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Education Science and Technology but which recognition was not in any event a legal requirement for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of such a society.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 the applicants argue that their entire membership of over ten thousand primary school head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teachers have been adversely affected by the said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which has violated their rights of freedom of association guaranteed under the Constitution.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It is clear to the court that although the registrar had a discretion under section 12 to give notice to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lastRenderedPageBreak/>
        <w:t xml:space="preserve">applicants to show cause why their society should not be deregistered </w:t>
      </w:r>
      <w:proofErr w:type="gramStart"/>
      <w:r>
        <w:rPr>
          <w:rFonts w:ascii="Times New Roman" w:hAnsi="Times New Roman" w:cs="Times New Roman"/>
          <w:color w:val="000000"/>
        </w:rPr>
        <w:t>he</w:t>
      </w:r>
      <w:proofErr w:type="gramEnd"/>
      <w:r>
        <w:rPr>
          <w:rFonts w:ascii="Times New Roman" w:hAnsi="Times New Roman" w:cs="Times New Roman"/>
          <w:color w:val="000000"/>
        </w:rPr>
        <w:t xml:space="preserve"> did not exercise that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discretion. The applicants were not notified at all. No hearing was afforded to the applicants or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reasons given prior to the deregistration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It is also clear from the correspondence that although the notification of cancellation dated 6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2004 is endorsed with the following reasons for cancellation,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interest of peace welfare or good order in Kenya would be likely to be prejudiced by continued</w:t>
      </w:r>
      <w:r w:rsidR="00770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registration of the society.”</w:t>
      </w:r>
      <w:r w:rsidR="00770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 he</w:t>
      </w:r>
      <w:proofErr w:type="spellEnd"/>
      <w:r>
        <w:rPr>
          <w:rFonts w:ascii="Times New Roman" w:hAnsi="Times New Roman" w:cs="Times New Roman"/>
          <w:color w:val="000000"/>
        </w:rPr>
        <w:t xml:space="preserve"> real reason for deregistration is contained or expressed in the letter dated 17 May 2004 from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registrar of Societies to the effect that the applicants did not have “an approval by the Ministry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Education which is the rightful authority regarding matters of forming associations within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teaching profession”. The respondents did not file any affidavit even after the grant of leave by this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for them to do so out of time. The applicants having been the first to apply for registration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same having been effected it appears odd for the same registrar to deregister it purporting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cite reasons set out under section 12 and endorse them on the Notice of cancellation.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had an opportunity to satisfy the court that the only grounds which they relied on in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deregistering are those set out in section 12 of the Society’s Act but they failed or have declined to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so. It is not clear to the court why an association which is supposed to have been vetted for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and on other relevant grounds long before registration would be deregistered about two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 later citing considerations which would normally be expected to precede registration.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The applicants have also alleged that the Registrar of Societies in deregistering the society was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arbitrary, unfair, unreasonable and without any basis in law. We find that the Registrar’s act of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registering a rival society only 2 days after the unexplained deregistration of the applicant’s is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indicative of bias and an element of bad faith and abuse of power on the part of the Registrar of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societies.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(4) We have also considered the applicant’s contention that after registration the Society’s operations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programmes</w:t>
      </w:r>
      <w:proofErr w:type="spellEnd"/>
      <w:r>
        <w:rPr>
          <w:rFonts w:ascii="Times New Roman" w:hAnsi="Times New Roman" w:cs="Times New Roman"/>
          <w:color w:val="000000"/>
        </w:rPr>
        <w:t xml:space="preserve"> involving expenditure of money were </w:t>
      </w:r>
      <w:proofErr w:type="spellStart"/>
      <w:r>
        <w:rPr>
          <w:rFonts w:ascii="Times New Roman" w:hAnsi="Times New Roman" w:cs="Times New Roman"/>
          <w:color w:val="000000"/>
        </w:rPr>
        <w:t>paralysed</w:t>
      </w:r>
      <w:proofErr w:type="spellEnd"/>
      <w:r>
        <w:rPr>
          <w:rFonts w:ascii="Times New Roman" w:hAnsi="Times New Roman" w:cs="Times New Roman"/>
          <w:color w:val="000000"/>
        </w:rPr>
        <w:t xml:space="preserve"> and that their claim to a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membership of about 10 000 primary school heads has not been denied by the respondent and for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reason we find that the applicants after registration would immediately have legitimate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expectation to proceed with the implementation of their Society’s objectives without hindrance.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 deregistration</w:t>
      </w:r>
      <w:proofErr w:type="gramEnd"/>
      <w:r>
        <w:rPr>
          <w:rFonts w:ascii="Times New Roman" w:hAnsi="Times New Roman" w:cs="Times New Roman"/>
          <w:color w:val="000000"/>
        </w:rPr>
        <w:t xml:space="preserve"> appears to have thwarted their legitimate expectation to a hearing. In addition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 deregistration</w:t>
      </w:r>
      <w:proofErr w:type="gramEnd"/>
      <w:r>
        <w:rPr>
          <w:rFonts w:ascii="Times New Roman" w:hAnsi="Times New Roman" w:cs="Times New Roman"/>
          <w:color w:val="000000"/>
        </w:rPr>
        <w:t xml:space="preserve"> did take away a benefit or an advantage which is also a legitimate expectation.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(5) Arising from the above situation we consider it important to consider whether the Registrar of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Societies did owe any duty to the applicants to act fairly in the circumstances and whether even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that duty being expressed in the Act whether such duty can be implied.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1. Procedural Fairness Protected Interest and Legitimate Expectation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item above which can generally be said to cover the requirements of fairness it is clear to us that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notice of deregistration was given prior to the deregistration and no reasons were given or the right of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accorded to the applicants.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Although section 12 does confer on the registrar with a discretion to issue a notice to show </w:t>
      </w:r>
      <w:proofErr w:type="gramStart"/>
      <w:r>
        <w:rPr>
          <w:rFonts w:ascii="Times New Roman" w:hAnsi="Times New Roman" w:cs="Times New Roman"/>
          <w:color w:val="000000"/>
        </w:rPr>
        <w:t>cause</w:t>
      </w:r>
      <w:proofErr w:type="gramEnd"/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deregistering a society we note that he did not do so.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to pose is whether failure to do so was reasonable taking into account that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registration had been effected at least two months before </w:t>
      </w:r>
      <w:proofErr w:type="gramStart"/>
      <w:r>
        <w:rPr>
          <w:rFonts w:ascii="Times New Roman" w:hAnsi="Times New Roman" w:cs="Times New Roman"/>
          <w:color w:val="000000"/>
        </w:rPr>
        <w:t>the deregistration</w:t>
      </w:r>
      <w:proofErr w:type="gramEnd"/>
      <w:r>
        <w:rPr>
          <w:rFonts w:ascii="Times New Roman" w:hAnsi="Times New Roman" w:cs="Times New Roman"/>
          <w:color w:val="000000"/>
        </w:rPr>
        <w:t xml:space="preserve"> and the applicants had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embarked on their </w:t>
      </w:r>
      <w:proofErr w:type="spellStart"/>
      <w:r>
        <w:rPr>
          <w:rFonts w:ascii="Times New Roman" w:hAnsi="Times New Roman" w:cs="Times New Roman"/>
          <w:color w:val="000000"/>
        </w:rPr>
        <w:t>programmes</w:t>
      </w:r>
      <w:proofErr w:type="spellEnd"/>
      <w:r>
        <w:rPr>
          <w:rFonts w:ascii="Times New Roman" w:hAnsi="Times New Roman" w:cs="Times New Roman"/>
          <w:color w:val="000000"/>
        </w:rPr>
        <w:t>. The answer is a clear “NO”. It was unreasonable on the part of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not to have issued the notice and we hold that the unreasonableness of such a decision brings it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the purview of Judicial Review. The Registrar had a Judicial or administrative discretion to be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exercised judicially and reasonably. The registration and the award of a certificate did create a protected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in favour of the applicants to remain a registered society and we hold that they are perfectly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safeguard that interest. That protected interest was unreasonably taken away and that decision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decision maker namely the Registrar is amenable to judicial review. In addition failure to give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was an improper exercise of the discretion conferred on the Registrar.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hold that section 12 did not exclude the application of rules of natural justice and in particular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audi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alteram partem </w:t>
      </w:r>
      <w:r>
        <w:rPr>
          <w:rFonts w:ascii="Times New Roman" w:hAnsi="Times New Roman" w:cs="Times New Roman"/>
          <w:color w:val="000000"/>
        </w:rPr>
        <w:t xml:space="preserve">rule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right to a fair hearing see </w:t>
      </w:r>
      <w:r>
        <w:rPr>
          <w:rFonts w:ascii="Times New Roman" w:hAnsi="Times New Roman" w:cs="Times New Roman"/>
          <w:i/>
          <w:iCs/>
          <w:color w:val="000000"/>
        </w:rPr>
        <w:t xml:space="preserve">Ridge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Baldwn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[HL 1964]. We further hold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Registrar should have given reasons for his action and was under a duty to do so, more so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applicants after registration had also acquired a legitimate expectation duly induced by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by virtue of the issue to them of a certificate of registration. We venture further to suggest as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 </w:t>
      </w:r>
      <w:proofErr w:type="spellStart"/>
      <w:r>
        <w:rPr>
          <w:rFonts w:ascii="Times New Roman" w:hAnsi="Times New Roman" w:cs="Times New Roman"/>
          <w:color w:val="000000"/>
        </w:rPr>
        <w:t>Scarman</w:t>
      </w:r>
      <w:proofErr w:type="spellEnd"/>
      <w:r>
        <w:rPr>
          <w:rFonts w:ascii="Times New Roman" w:hAnsi="Times New Roman" w:cs="Times New Roman"/>
          <w:color w:val="000000"/>
        </w:rPr>
        <w:t xml:space="preserve"> said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CCSU v The Minister for Civil Service </w:t>
      </w:r>
      <w:r>
        <w:rPr>
          <w:rFonts w:ascii="Times New Roman" w:hAnsi="Times New Roman" w:cs="Times New Roman"/>
          <w:color w:val="000000"/>
        </w:rPr>
        <w:t>[HL 1984] that there was an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implied duty of fairness attached to all administrative acts.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also associate ourselves with Lord </w:t>
      </w:r>
      <w:proofErr w:type="spellStart"/>
      <w:r>
        <w:rPr>
          <w:rFonts w:ascii="Times New Roman" w:hAnsi="Times New Roman" w:cs="Times New Roman"/>
          <w:color w:val="000000"/>
        </w:rPr>
        <w:t>Mustill’s</w:t>
      </w:r>
      <w:proofErr w:type="spellEnd"/>
      <w:r>
        <w:rPr>
          <w:rFonts w:ascii="Times New Roman" w:hAnsi="Times New Roman" w:cs="Times New Roman"/>
          <w:color w:val="000000"/>
        </w:rPr>
        <w:t xml:space="preserve"> holding in the case of </w:t>
      </w:r>
      <w:r>
        <w:rPr>
          <w:rFonts w:ascii="Times New Roman" w:hAnsi="Times New Roman" w:cs="Times New Roman"/>
          <w:i/>
          <w:iCs/>
          <w:color w:val="000000"/>
        </w:rPr>
        <w:t>Doody v The Home Secretary</w:t>
      </w:r>
      <w:r w:rsidR="007707F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[HL 1993] that where an Act of Parliament confers an administrative power there is a presumption that it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will be exercised in a </w:t>
      </w:r>
      <w:r>
        <w:rPr>
          <w:rFonts w:ascii="Times New Roman" w:hAnsi="Times New Roman" w:cs="Times New Roman"/>
          <w:color w:val="000000"/>
        </w:rPr>
        <w:lastRenderedPageBreak/>
        <w:t>manner which is fair.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2. Irrelevant Considerations and Illegality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Registrar of Societies having failed to file an affidavit or to appear to defend his position we find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reasons or grounds of cancellation endorsed on the Notification were not the real reasons because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vetting process always precedes registration. There was no proven grounds for deregistration under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12. Instead in his letter cited above the Registrar did give the real reason for deregistration which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that the applicant’s society did not enjoy the Ministry of Education’s recognition. We note that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recognition is not one of the grounds for deregistration under section 12 of the Act. We find that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of Societies did take into account an irrelevant consideration in the decision making process.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again hold that the taking into account an irrelevant consideration invites this Court’s intervention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Judicial Review.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Irrelevant consideration is one of the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grounds for intervention and again on this ground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alone the deregistration decision ought to be brought up and quashed.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 of this finding the famous case of </w:t>
      </w:r>
      <w:r>
        <w:rPr>
          <w:rFonts w:ascii="Times New Roman" w:hAnsi="Times New Roman" w:cs="Times New Roman"/>
          <w:i/>
          <w:iCs/>
          <w:color w:val="000000"/>
        </w:rPr>
        <w:t>Associated Provincial Picture Houses Limited v</w:t>
      </w:r>
      <w:r w:rsidR="007707F4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Wednesbury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Cop </w:t>
      </w:r>
      <w:r>
        <w:rPr>
          <w:rFonts w:ascii="Times New Roman" w:hAnsi="Times New Roman" w:cs="Times New Roman"/>
          <w:color w:val="000000"/>
        </w:rPr>
        <w:t>civil appeal 1948 enumerated the principle of a challenge in Judicial Review based on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irrelevant considerations. Also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Padfield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Minister of Agriculture and Fisheries </w:t>
      </w:r>
      <w:r>
        <w:rPr>
          <w:rFonts w:ascii="Times New Roman" w:hAnsi="Times New Roman" w:cs="Times New Roman"/>
          <w:color w:val="000000"/>
        </w:rPr>
        <w:t>[HL 1968]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Minister had the power to refer complaints about the operation of the Milk Marketing Board scheme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committee. He refused to refer a complaint of substance to the committee.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subsequently emerged that one reason for his decision was that he had taken into account the fact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publicity about the complaint would be politically damaging for the Government at that time.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found that, that was an irrelevant consideration which rendered the decision unlawful. In this case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 Upjohn held that unlawful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 xml:space="preserve"> might be constituted by: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gramEnd"/>
      <w:r>
        <w:rPr>
          <w:rFonts w:ascii="Times New Roman" w:hAnsi="Times New Roman" w:cs="Times New Roman"/>
          <w:color w:val="000000"/>
        </w:rPr>
        <w:t xml:space="preserve"> outright refusal to consider the relevant matter.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 misdirection on a point of law.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Taking into account some wholly irrelevant or extraneous consideration.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Wholly omitting to take into account a relevant consideration.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Applying the facts of the case before us to the above tests items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were patently ignored by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registrar and the court is perfectly entitled to intervene. Indeed in the case of CCSU cited and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considered elsewhere in this judgment Lord </w:t>
      </w:r>
      <w:proofErr w:type="spellStart"/>
      <w:r>
        <w:rPr>
          <w:rFonts w:ascii="Times New Roman" w:hAnsi="Times New Roman" w:cs="Times New Roman"/>
          <w:color w:val="000000"/>
        </w:rPr>
        <w:t>Diplock</w:t>
      </w:r>
      <w:proofErr w:type="spellEnd"/>
      <w:r>
        <w:rPr>
          <w:rFonts w:ascii="Times New Roman" w:hAnsi="Times New Roman" w:cs="Times New Roman"/>
          <w:color w:val="000000"/>
        </w:rPr>
        <w:t xml:space="preserve"> defined illegality as under: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“By illegality as a ground for Judicial Review I mean that the decision maker must understand correctly the</w:t>
      </w:r>
      <w:r w:rsidR="00770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 that regulates his decision making power and must give effect to it.”</w:t>
      </w:r>
      <w:r w:rsidR="00770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cannot rightly be said that the Registrar did so understand the law or give effect to it in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described above. There is therefore a strong case for intervention by this Court.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3. Unreasonableness, and Bias, Abuse of Power, Bad Faith and Procedural Impropriety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development of this branch of the law bias and unreasonableness have been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as grounds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stand alone in assisting the courts to deal with the challenged decisions.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 deregistration</w:t>
      </w:r>
      <w:proofErr w:type="gramEnd"/>
      <w:r>
        <w:rPr>
          <w:rFonts w:ascii="Times New Roman" w:hAnsi="Times New Roman" w:cs="Times New Roman"/>
          <w:color w:val="000000"/>
        </w:rPr>
        <w:t xml:space="preserve"> of the applicants and the registration of main rivals within two days is indicative of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bias and unreasonableness on the part of the decision maker.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to give reasons for what is patently lack of evenhandedness on the part of this decision maker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in our view constitute procedural impropriety.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addition we hold that there is certainly evidence of bad faith on the part of the decision maker and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would not in cases where bad faith is proven to exist in influencing a decision, hesitate to take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 this as a valid ground of argument.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find that the Registrar decision does fall squarely under attack on these grounds as well.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4. Legitimate Expectation and Protected Interests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fact that the applicants had been registered for over two months and issued with a registration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did create in their favour a protected interest which ought not to have been taken away at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whim of the Registrar without a hearing and the giving of reasons. That interest as stated above is to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remain in the registration register and that this interest is protected under judicial review. They had also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reliance of the certificate of registration designed and formulated a </w:t>
      </w:r>
      <w:proofErr w:type="spellStart"/>
      <w:r>
        <w:rPr>
          <w:rFonts w:ascii="Times New Roman" w:hAnsi="Times New Roman" w:cs="Times New Roman"/>
          <w:color w:val="000000"/>
        </w:rPr>
        <w:t>programme</w:t>
      </w:r>
      <w:proofErr w:type="spellEnd"/>
      <w:r>
        <w:rPr>
          <w:rFonts w:ascii="Times New Roman" w:hAnsi="Times New Roman" w:cs="Times New Roman"/>
          <w:color w:val="000000"/>
        </w:rPr>
        <w:t xml:space="preserve"> of action and had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started spreading their wings to enroll members and had also started to expend moneys in respect of their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programmes</w:t>
      </w:r>
      <w:proofErr w:type="spellEnd"/>
      <w:r>
        <w:rPr>
          <w:rFonts w:ascii="Times New Roman" w:hAnsi="Times New Roman" w:cs="Times New Roman"/>
          <w:color w:val="000000"/>
        </w:rPr>
        <w:t>. As stated in item (1) above the issue of the Certificate does in our view constitute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inducement from the Registrar. We find that he did induce a legitimate expectation in the applicants as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well, and therefore hold that this Court’s intervention would be justified on these grounds as well.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Legimate</w:t>
      </w:r>
      <w:proofErr w:type="spellEnd"/>
      <w:r>
        <w:rPr>
          <w:rFonts w:ascii="Times New Roman" w:hAnsi="Times New Roman" w:cs="Times New Roman"/>
          <w:color w:val="000000"/>
        </w:rPr>
        <w:t xml:space="preserve"> Expectation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principle which justifies the imposition of procedural protection has come to be known as legitimate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expectation. Such an expectation arises where a person responsible for taking a decision has induced in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someone who may be affected by the decision a reasonable expectation that he will receive or retain a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benefit or that he will be granted a hearing before the decision is taken. In such cases the courts have held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expectation ought not to be summarily disappointed. The principle appears to have had recent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origins in the English case of </w:t>
      </w:r>
      <w:r>
        <w:rPr>
          <w:rFonts w:ascii="Times New Roman" w:hAnsi="Times New Roman" w:cs="Times New Roman"/>
          <w:i/>
          <w:iCs/>
          <w:color w:val="000000"/>
        </w:rPr>
        <w:t xml:space="preserve">Schmidt v Secretary of State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fFor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Home Affairs </w:t>
      </w:r>
      <w:r>
        <w:rPr>
          <w:rFonts w:ascii="Times New Roman" w:hAnsi="Times New Roman" w:cs="Times New Roman"/>
          <w:color w:val="000000"/>
        </w:rPr>
        <w:t xml:space="preserve">[1969] 2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149 </w:t>
      </w:r>
      <w:r>
        <w:rPr>
          <w:rFonts w:ascii="Times New Roman" w:hAnsi="Times New Roman" w:cs="Times New Roman"/>
          <w:color w:val="000000"/>
        </w:rPr>
        <w:lastRenderedPageBreak/>
        <w:t>in which a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foreign student sought review of the Home Secretary’s decision not to grant an extension of his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temporary permit to stay in the UK. However what gave the principle bigger exposure was its definition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Lord </w:t>
      </w:r>
      <w:proofErr w:type="spellStart"/>
      <w:r>
        <w:rPr>
          <w:rFonts w:ascii="Times New Roman" w:hAnsi="Times New Roman" w:cs="Times New Roman"/>
          <w:color w:val="000000"/>
        </w:rPr>
        <w:t>Diplock</w:t>
      </w:r>
      <w:proofErr w:type="spellEnd"/>
      <w:r>
        <w:rPr>
          <w:rFonts w:ascii="Times New Roman" w:hAnsi="Times New Roman" w:cs="Times New Roman"/>
          <w:color w:val="000000"/>
        </w:rPr>
        <w:t xml:space="preserve"> in the leading English case of </w:t>
      </w:r>
      <w:r>
        <w:rPr>
          <w:rFonts w:ascii="Times New Roman" w:hAnsi="Times New Roman" w:cs="Times New Roman"/>
          <w:i/>
          <w:iCs/>
          <w:color w:val="000000"/>
        </w:rPr>
        <w:t>Council of Civil Services Unions v Minister For Civil</w:t>
      </w:r>
      <w:r w:rsidR="007707F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Service </w:t>
      </w:r>
      <w:r>
        <w:rPr>
          <w:rFonts w:ascii="Times New Roman" w:hAnsi="Times New Roman" w:cs="Times New Roman"/>
          <w:color w:val="000000"/>
        </w:rPr>
        <w:t>1985 AC 374, the brief outline of facts is that a majority of the judges in the case based their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on the fact that, but for national security, there would have been a duty on the Minister to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consult on the ground that the civil servants had a legitimate expectation that they would be consulted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their trade union rights were taken away. Lord </w:t>
      </w:r>
      <w:proofErr w:type="spellStart"/>
      <w:r>
        <w:rPr>
          <w:rFonts w:ascii="Times New Roman" w:hAnsi="Times New Roman" w:cs="Times New Roman"/>
          <w:color w:val="000000"/>
        </w:rPr>
        <w:t>Diplock</w:t>
      </w:r>
      <w:proofErr w:type="spellEnd"/>
      <w:r>
        <w:rPr>
          <w:rFonts w:ascii="Times New Roman" w:hAnsi="Times New Roman" w:cs="Times New Roman"/>
          <w:color w:val="000000"/>
        </w:rPr>
        <w:t xml:space="preserve"> at 406–409 stated that for a legitimate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expectation to arise the decision.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“Must affect (the) other person. . .by depriving him of some benefit or advantage which either</w:t>
      </w:r>
      <w:r w:rsidR="00770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he had in the past been permitted by the decision maker to enjoy and which he can legitimately expect</w:t>
      </w:r>
      <w:r w:rsidR="00770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permitted to continue to do until there has been communicated to him some rational grounds for</w:t>
      </w:r>
      <w:r w:rsidR="00770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withdrawing it on which he has been given an opportunity to comment; or</w:t>
      </w:r>
      <w:r w:rsidR="00770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he has received assurance from the decision maker will not be withdrawn without giving him first an</w:t>
      </w:r>
      <w:r w:rsidR="00770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opportunity of advancing reasons for contending that they should be withdrawn.”</w:t>
      </w:r>
      <w:r w:rsidR="00770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Lord Fraser in the same case put it in these words: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legitimate expectation may arise either from an express promise given on behalf of a public authority or</w:t>
      </w:r>
      <w:r w:rsidR="00770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existence of a regular practice which the claimant can reasonably expect to continue.”</w:t>
      </w:r>
      <w:r w:rsidR="007707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hold that the matter before us is clearly covered by both Lord </w:t>
      </w:r>
      <w:proofErr w:type="spellStart"/>
      <w:r>
        <w:rPr>
          <w:rFonts w:ascii="Times New Roman" w:hAnsi="Times New Roman" w:cs="Times New Roman"/>
          <w:color w:val="000000"/>
        </w:rPr>
        <w:t>Diplock’s</w:t>
      </w:r>
      <w:proofErr w:type="spellEnd"/>
      <w:r>
        <w:rPr>
          <w:rFonts w:ascii="Times New Roman" w:hAnsi="Times New Roman" w:cs="Times New Roman"/>
          <w:color w:val="000000"/>
        </w:rPr>
        <w:t xml:space="preserve"> definition and that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protected interest acquired by registration and the issue of a certificate of registration should not be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thwarted by the registrar and that his decision to deregister should be brought into this Court for quashing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this principle as well.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Indeed, in a recent case involving Nairobi Hawkers (street traders) who had been allocated street sites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City Council and who had valid permit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 xml:space="preserve"> issued to them for value benefited from this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principle when one of the member of this Panel,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gave them leave to apply for an order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quash the Minister decision to evict without proof of reallocation to another site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5. Duty to Act Fairly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there is an overlap between this ground and the first ground above, we find that failure by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to give reasons for his decision and to explain why she had to act the way she did is fatal to her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decision. The applicants have no other known relief in law and the registration of their later day rival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jeopardised</w:t>
      </w:r>
      <w:proofErr w:type="spellEnd"/>
      <w:r>
        <w:rPr>
          <w:rFonts w:ascii="Times New Roman" w:hAnsi="Times New Roman" w:cs="Times New Roman"/>
          <w:color w:val="000000"/>
        </w:rPr>
        <w:t xml:space="preserve"> their interests in a prejudicial manner and although we are aware that judicial review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remedies are discretionary where an applicant has no other way of obtaining or accessing relief the court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let the law take its course regardless of the consequences. Here we are mindful of the fact that our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might regrettably lead to the establishment of two rival groups in the same area of operation but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is compelled to leave this aspect addressed by the market forces if any exist in this area to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 who survives and who goes under. A registrar who perverts the rule of law by his act must be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to shoulder the consequences of his act although what is under attack is her decision and not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 v Higher Education Funding Council ex parte Institute of Dental Surgery </w:t>
      </w:r>
      <w:r>
        <w:rPr>
          <w:rFonts w:ascii="Times New Roman" w:hAnsi="Times New Roman" w:cs="Times New Roman"/>
          <w:color w:val="000000"/>
        </w:rPr>
        <w:t>civil appeal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1994 the court held that giving reasons was one requirement of fairness and that it could depending on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circumstances be an implied duty. The same theme was repeated in the </w:t>
      </w:r>
      <w:r>
        <w:rPr>
          <w:rFonts w:ascii="Times New Roman" w:hAnsi="Times New Roman" w:cs="Times New Roman"/>
          <w:i/>
          <w:iCs/>
          <w:color w:val="000000"/>
        </w:rPr>
        <w:t>R v Secretary of State, ex parte</w:t>
      </w:r>
      <w:r w:rsidR="007707F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Doody </w:t>
      </w:r>
      <w:r>
        <w:rPr>
          <w:rFonts w:ascii="Times New Roman" w:hAnsi="Times New Roman" w:cs="Times New Roman"/>
          <w:color w:val="000000"/>
        </w:rPr>
        <w:t>which we have cited above.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duty to give reasons would be implied in the following situations: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Where</w:t>
      </w:r>
      <w:proofErr w:type="gramEnd"/>
      <w:r>
        <w:rPr>
          <w:rFonts w:ascii="Times New Roman" w:hAnsi="Times New Roman" w:cs="Times New Roman"/>
          <w:color w:val="000000"/>
        </w:rPr>
        <w:t xml:space="preserve"> the decision involved an interest which was highly regarded in law, in our case freedom of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 is not only highly regarded but it is also a constitutional right.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Where the nature of the process required reasons to be given. In this case the nature of the process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so require hence the statutory provision for a notice to show cause.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From the circumstances of the individual case. Yes the circumstances of deregistration are such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would be necessary to give reasons. Giving reasons after the event, and for that matter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giving reasons based on an irrelevant consideration is in our view a mockery of the rule of law.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a case that has compelled the court to go through or review nearly the entire spectrum of grounds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intervention in Judicial Review as clearly outlined above (one to five) which include the 3R’s namely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illegality, irrationality and impropriety of procedure. But we would venture to suggest that the law has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yet reached the farthest or the last frontier and that the courts must </w:t>
      </w:r>
      <w:proofErr w:type="spellStart"/>
      <w:r>
        <w:rPr>
          <w:rFonts w:ascii="Times New Roman" w:hAnsi="Times New Roman" w:cs="Times New Roman"/>
          <w:color w:val="000000"/>
        </w:rPr>
        <w:t>endevour</w:t>
      </w:r>
      <w:proofErr w:type="spellEnd"/>
      <w:r>
        <w:rPr>
          <w:rFonts w:ascii="Times New Roman" w:hAnsi="Times New Roman" w:cs="Times New Roman"/>
          <w:color w:val="000000"/>
        </w:rPr>
        <w:t xml:space="preserve"> to expand the grounds of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intervention depending on the circumstances before them. Although not in the context of the facts in this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and this is obiter we must add that in a fitting case this Court would be prepared to extend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of intervention to decisions made under the shadow of corruption or abuse of office. Indeed,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subverts the rule of law more than decisions induced by corruption or abuse of office. Obviously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absence of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reasons or irrationality of a decision could suggest such a conclusion. We do accept however that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grounds of intervention in Judicial Review do overlap and the facts of each case must </w:t>
      </w:r>
      <w:r>
        <w:rPr>
          <w:rFonts w:ascii="Times New Roman" w:hAnsi="Times New Roman" w:cs="Times New Roman"/>
          <w:color w:val="000000"/>
        </w:rPr>
        <w:lastRenderedPageBreak/>
        <w:t>either define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or suggest a new ground.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facts of the case before us we have found that the applicants had a right of hearing provided by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relevant law vide a notice to show cause which was not served following improper exercise of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by the Registrar and we have also found that quite independent of the statutory right to hearing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very act of registration and the issue of a certificate of registration by the decision maker, namely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gave the applicant a legitimate expectation to a hearing which is not to be thwarted.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Unlike Lord </w:t>
      </w:r>
      <w:proofErr w:type="spellStart"/>
      <w:r>
        <w:rPr>
          <w:rFonts w:ascii="Times New Roman" w:hAnsi="Times New Roman" w:cs="Times New Roman"/>
          <w:color w:val="000000"/>
        </w:rPr>
        <w:t>Diplock</w:t>
      </w:r>
      <w:proofErr w:type="spellEnd"/>
      <w:r>
        <w:rPr>
          <w:rFonts w:ascii="Times New Roman" w:hAnsi="Times New Roman" w:cs="Times New Roman"/>
          <w:color w:val="000000"/>
        </w:rPr>
        <w:t xml:space="preserve"> we would not confine the principle only to past advantage or benefit but we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extend it to a future promise or benefit yet to be enjoyed.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 principle which in our view should not be so restricted because it has its root in what is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gradually becoming a universal but fundamental principle of law namely the rule of law with its offshoot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 of legal certainty. If the reason for the principle is for the challenged bodies or decision makers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demonstrate regularity, predictability and certainty in their dealings, this is, in turn enables the affected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to plan their affairs, lives and businesses with some measure of regularity predictability, certainty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we dare add with confidence.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outlined above the principle has been very ably defined and applied in public law in the last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century but it is clear to us that it has its cousins in private law of </w:t>
      </w:r>
      <w:proofErr w:type="spellStart"/>
      <w:r>
        <w:rPr>
          <w:rFonts w:ascii="Times New Roman" w:hAnsi="Times New Roman" w:cs="Times New Roman"/>
          <w:color w:val="000000"/>
        </w:rPr>
        <w:t>honouring</w:t>
      </w:r>
      <w:proofErr w:type="spellEnd"/>
      <w:r>
        <w:rPr>
          <w:rFonts w:ascii="Times New Roman" w:hAnsi="Times New Roman" w:cs="Times New Roman"/>
          <w:color w:val="000000"/>
        </w:rPr>
        <w:t xml:space="preserve"> trusts and confidences. It is a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principle which has origins in nearly every continent. Trusts and confidences must be </w:t>
      </w:r>
      <w:proofErr w:type="spellStart"/>
      <w:r>
        <w:rPr>
          <w:rFonts w:ascii="Times New Roman" w:hAnsi="Times New Roman" w:cs="Times New Roman"/>
          <w:color w:val="000000"/>
        </w:rPr>
        <w:t>honoured</w:t>
      </w:r>
      <w:proofErr w:type="spellEnd"/>
      <w:r>
        <w:rPr>
          <w:rFonts w:ascii="Times New Roman" w:hAnsi="Times New Roman" w:cs="Times New Roman"/>
          <w:color w:val="000000"/>
        </w:rPr>
        <w:t xml:space="preserve"> in public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 and therefore the situations where the expectations shall be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and protected must of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necessity defy restrictions in the years ahead. The strengths and weaknesses of the expectations must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remain a central role for the public law courts to weigh and determine.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upshot of the above is that this Court is perfectly entitled to quash the decision on any of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enumerated grounds (one to five) are above.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therefore hereby bring up to this Court the decision to deregister and quash the same forthwith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further issue an order of mandamus as prayed compelling the registrar to restore to the applicants the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of registration.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  <w:r w:rsidR="007707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C74451" w:rsidRDefault="00C74451" w:rsidP="00C74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C74451" w:rsidP="00C74451">
      <w:r>
        <w:rPr>
          <w:rFonts w:ascii="Times New Roman" w:hAnsi="Times New Roman" w:cs="Times New Roman"/>
          <w:i/>
          <w:iCs/>
          <w:color w:val="000000"/>
        </w:rPr>
        <w:t xml:space="preserve">Information not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availabl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1"/>
    <w:rsid w:val="007707F4"/>
    <w:rsid w:val="00AB7022"/>
    <w:rsid w:val="00C7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3671F-D572-4FD6-B893-E7538016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3420</Words>
  <Characters>19496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2018-07-05T08:40:00Z</dcterms:created>
  <dcterms:modified xsi:type="dcterms:W3CDTF">2018-07-12T20:24:00Z</dcterms:modified>
</cp:coreProperties>
</file>