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EE" w:rsidRDefault="007B66EE" w:rsidP="006D36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Republic v Jaffer</w:t>
      </w:r>
    </w:p>
    <w:p w:rsidR="007B66EE" w:rsidRDefault="007B66EE" w:rsidP="006D36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7B66EE" w:rsidRDefault="007B66EE" w:rsidP="006D36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March 1974</w:t>
      </w:r>
    </w:p>
    <w:p w:rsidR="007B66EE" w:rsidRDefault="007B66EE" w:rsidP="006D36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8/1973 (108/74)</w:t>
      </w:r>
    </w:p>
    <w:p w:rsidR="007B66EE" w:rsidRDefault="007B66EE" w:rsidP="006D36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Mwakasendo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7B66EE" w:rsidRDefault="007B66EE" w:rsidP="006D36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B66EE" w:rsidRDefault="007B66EE" w:rsidP="007B6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Exchange Control – Payment to non-resident – Permission – Goods over-invoiced – No permission</w:t>
      </w:r>
    </w:p>
    <w:p w:rsidR="007B66EE" w:rsidRDefault="007B66EE" w:rsidP="007B6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– Exchange Control Ordinance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294)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 xml:space="preserve">5 (9) </w:t>
      </w:r>
      <w:r>
        <w:rPr>
          <w:rFonts w:ascii="Times New Roman" w:hAnsi="Times New Roman" w:cs="Times New Roman"/>
          <w:i/>
          <w:iCs/>
          <w:color w:val="000000"/>
        </w:rPr>
        <w:t xml:space="preserve">and </w:t>
      </w:r>
      <w:r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i/>
          <w:iCs/>
          <w:color w:val="000000"/>
        </w:rPr>
        <w:t xml:space="preserve">th Sch., Pt. II para. </w:t>
      </w:r>
      <w:r>
        <w:rPr>
          <w:rFonts w:ascii="Times New Roman" w:hAnsi="Times New Roman" w:cs="Times New Roman"/>
          <w:color w:val="000000"/>
        </w:rPr>
        <w:t>1 (1) 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7B66EE" w:rsidRDefault="006D36A4" w:rsidP="006D36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D36A4" w:rsidRDefault="007B66EE" w:rsidP="007B6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Mwakasendo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accused in this case stands charged upon information with one count of making a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to or for the credit of a person resident outside the scheduled territory contrary to s. 5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para. 1 (1) of Part II of the Fifth Schedule to the Exchange Control Ordinance (Cap. 294). The particulars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offence as set out in the amended information read as follows: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Hassanali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Ladhu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Jaffer, being a director of the Tanzania National Constructors (1970) Ltd. and a person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resident in the United Republic, on or about 1 January 1972 in the city of Dar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Salaam, unlawfully made a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payment of £12,295.64 Sterling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Messrs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Frank Truman Ltd. of the United Kingdom, a person resident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outside the scheduled territory, being a payment as consideration for three reconditioned Caterpillars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imported into the United Republic, the said amount being more than the fair and reasonable value of the said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goods.”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case is without doubt the first case of its kind to be brought under s. 5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para. 1 (1) of Part II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Fifth Schedule to the Exchange Control Ordinance as amended by the Financial Laws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(Miscellaneous Amendments) Act 1972. The law under which the present charge has been brought is by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means easy to comprehend. This fact perhaps explains why the particulars set out are couched in a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hesitant and repetitive style which is quite out of keeping with the style one customarily expects from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Principal State Attorney. Be that as it may, the relevant portion of s. 5 of the Exchange Control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Ordinance provides:</w:t>
      </w:r>
      <w:r w:rsidR="006D36A4">
        <w:rPr>
          <w:rFonts w:ascii="Times New Roman" w:hAnsi="Times New Roman" w:cs="Times New Roman"/>
          <w:color w:val="000000"/>
        </w:rPr>
        <w:t xml:space="preserve"> </w:t>
      </w:r>
    </w:p>
    <w:p w:rsidR="006D36A4" w:rsidRDefault="007B66EE" w:rsidP="007B6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“5. Except with the permission of the Treasury, no person shall do any of the following things in the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territory, that is to say–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B66EE" w:rsidRDefault="007B66EE" w:rsidP="007B6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ake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payment to or for the credit of a person resident outside the Scheduled territories.”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provision, be it noted, does no more than restrict residents from making payments to or for the credit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persons resident outside the scheduled territories without the permission of the Bank of Tanzania – to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powers of the Treasury under the section have been delegated by the order of the Minister for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Finance. Further, be it also noted that evasions or contraventions of s. 5 are not made offences under that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but are so declared by the provisions of Part II of the Fifth Schedule to the Ordinance which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contains a full code for the enforcement of all contraventions under the Ordinance including those under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5. Para. 1 (1) of Part II of the Fifth Schedule to the Ordinance reads: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“1(1) Any person who contravenes any of the provisions of this Ordinance or who fails to comply with any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direction, order, requirement or notice issued, made or given under any of the provisions of this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Ordinance shall be liable on conviction to a fine not exceeding one hundred thousand shillings or to a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term of imprisonment not exceeding fourteen years or to both such fine and imprisonment.”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[The judge considered the facts and continued.]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it is plain enough from this outline that the accused’s role in this caterpillar saga is quite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infinitesimal, the prosecution have, however, contended that he is nonetheless criminally implicated,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presumably because he is the one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signed the application for making a payment abroad form and the declaration – the payment for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imports form, on the strength of which documents the National Bank of Commerce made the payment of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£12,295.64 Sterling, the subject matter of the charge, to Messrs. Frank Truman Ltd. of London.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has, in answer to the charge, claimed that he signed the documents in question without knowing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true nature or knowing that in so appending his signature to them he was facilitating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perpetration of a serious foreign exchange fraud on this country. With all due respect to 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>, for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accused, I find myself unable to accept the contention advanced by the accused on this point because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believe that the accused, a man who has been a businessman throughout his life, is the kind of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 who would sign the type of documents, which he in fact signed in this case, without first inquiring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about the nature of such documents and being satisfied that they were in order before signing them.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on this point I hold that the accused signed the form and the declaration with full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of their true nature. But this finding, it must be conceded, is a far cry from finding the accused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guilty of any wrong-doing under the Exchange Control Ordinance. That is a matter which depends on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factors to the consideration of which we must now turn.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Mr. </w:t>
      </w:r>
      <w:proofErr w:type="spellStart"/>
      <w:r>
        <w:rPr>
          <w:rFonts w:ascii="Times New Roman" w:hAnsi="Times New Roman" w:cs="Times New Roman"/>
          <w:color w:val="000000"/>
        </w:rPr>
        <w:t>Tampi</w:t>
      </w:r>
      <w:proofErr w:type="spellEnd"/>
      <w:r>
        <w:rPr>
          <w:rFonts w:ascii="Times New Roman" w:hAnsi="Times New Roman" w:cs="Times New Roman"/>
          <w:color w:val="000000"/>
        </w:rPr>
        <w:t xml:space="preserve"> pointed out in the course of the trial, what the accused did in the instant case was until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 May 1972, a perfectly legal transaction. Until then his conduct on the matter could give rise to no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liability under the Exchange Control Ordinance since, as readily conceded by the learned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Republic, the payment in question had been duly authorised by the Bank of Tanzania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its agents – the National Bank of Commerce. On 12 May 1972, however, the law was changed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made retrospectively operative to cover foreign currency transactions which took place before that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date. While the object of the Legislature in changing the law was a very laudable one, to facilitate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 and prosecution of offences under the Exchange Control Ordinance and seemingly, to raise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penalties prescribed for such offences, there appears to be no apparent sound reason for making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 of the law retrospective, unless of course, one considers the present case to have been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cause. Be that as it may, the regulations relevant to this case are para. 1 (2) and para. 3 of Part II of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Fifth Schedule to the Ordinance which for ease of reference are set out below: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Para. 1 (2):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In any proceedings under Section 5 of the Ordinance if the Court is satisfied that any payment to which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section applies was made as consideration for any goods imported into the United Republic and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fair and reasonable value of such goods is less than the sum of money so paid, the payment shall,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notwithstanding that it was made with the permission of the Treasury or the Bank, be deemed to have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made without such permission and the person who made such payment shall be guilty of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contravening the provisions of the said section 5 unless he proves to the satisfaction of the court that–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 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took all reasonable steps which a prudent man of business would have taken to ensure that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sum of money so paid was not more than the fair and reasonable value of such goods and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upon discovering that the goods imported did not conform to the description of the goods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he had contracted to import, he took all such reasonable steps which a prudent man of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business would have taken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minimise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loss to himself.”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para. 3 provides: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 (1) Where an offence under this Ordinance is committed by a body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corporate then, as well as the body corporate, any person who, at the time of the commission of the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offence, was concerned, as a director or an officer, with the management of the affairs of such body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corporate, shall be guilty of the offence and shall be liable to be proceeded against and punished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accordingly unless he proves to the satisfaction of the court that he had no knowledge, and could not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exercise of reasonable diligence have had knowledge, of the commission of the offence.”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Now, on the evidence adduced in this case there can, I think, be no dispute that the two caterpillars under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were invoiced at more than their cost. The court had an opportunity to make a visual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examination of the two caterpillars and also to hear evidence from two caterpillar service engineers,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Messrs. Peter Busk and Ake </w:t>
      </w:r>
      <w:proofErr w:type="spellStart"/>
      <w:r>
        <w:rPr>
          <w:rFonts w:ascii="Times New Roman" w:hAnsi="Times New Roman" w:cs="Times New Roman"/>
          <w:color w:val="000000"/>
        </w:rPr>
        <w:t>Thorstensson</w:t>
      </w:r>
      <w:proofErr w:type="spellEnd"/>
      <w:r>
        <w:rPr>
          <w:rFonts w:ascii="Times New Roman" w:hAnsi="Times New Roman" w:cs="Times New Roman"/>
          <w:color w:val="000000"/>
        </w:rPr>
        <w:t>. Mr. Busk is the general manager of the Construction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Equipment Division of the United Africa Company while Ake </w:t>
      </w:r>
      <w:proofErr w:type="spellStart"/>
      <w:r>
        <w:rPr>
          <w:rFonts w:ascii="Times New Roman" w:hAnsi="Times New Roman" w:cs="Times New Roman"/>
          <w:color w:val="000000"/>
        </w:rPr>
        <w:t>Thorstensson</w:t>
      </w:r>
      <w:proofErr w:type="spellEnd"/>
      <w:r>
        <w:rPr>
          <w:rFonts w:ascii="Times New Roman" w:hAnsi="Times New Roman" w:cs="Times New Roman"/>
          <w:color w:val="000000"/>
        </w:rPr>
        <w:t xml:space="preserve"> is a Caterpillar service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engineer with the same company. These two witnesses carried out an examination of the two caterpillar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machines and following such examination formed the view that the machines in question were so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unserviceable as to be only fit for </w:t>
      </w:r>
      <w:proofErr w:type="spellStart"/>
      <w:r>
        <w:rPr>
          <w:rFonts w:ascii="Times New Roman" w:hAnsi="Times New Roman" w:cs="Times New Roman"/>
          <w:color w:val="000000"/>
        </w:rPr>
        <w:t>cannibalisation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and the scrap market. The two witnesses put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maximum value of the two machines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20,000/-. Having regard to the deplorable condition of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machines, which this court had occasion to see at the port area, I do not think the valuation of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machines given by the two expert witnesses can be said to be over-generous. And the conclusion to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derived from these facts is, as it seems to me, crystal clear – that is, that these two caterpillar machines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grossly over-invoiced by the supplier firm. In view of this finding, I have no hesitation in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concurring wholly with the opinion of the two assessors that the price paid for the two caterpillars under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discussion was grossly disproportionate to what one would consider to be the fair and reasonable value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them. Accordingly, I must hold, as the two assessors have correctly done, that in terms of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provisions of sub-para. (2)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para. 1 of Part II of the Fifth Schedule to the Exchange Control Ordinance,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payment of £12,295.64 Sterling made in consideration for the purported importation of the two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caterpillars by the Tanzania National Constructors (1970) Ltd. was done without the requisite permission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Bank of Tanzania and therefore illegal. This, however, is not the end of the matter. It is not enough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purpose of determining accused’s culpability in the matter merely to find that the payment in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was made without the requisite permission of the bank and rest the conviction at that. That is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so. The court has, before it can convict, to be satisfied: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accused person in the dock is the person who made the payment under investigation; and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he made this payment in his capacity as director of the Tanzania National Constructors (1970)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Ltd.; and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that at the time he made the payment he was concerned with the management of the affairs of the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company;</w:t>
      </w:r>
      <w:r w:rsidR="006D36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only when the court is satisfied on all these grounds can the court call upon the accused to defend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and satisfy it on a balance of probability that when he made the payment in issue, in his capacity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director, he had no knowledge and could not by the exercise of reasonable diligence have had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of the commission of the offence complained of. Only if the court is not satisfied with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accused’s explanation on the matter should it convict, otherwise if his explanation raises any real doubt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case he is entitled to an acquittal.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assessors in giving their opinions on this case were clearly unanimous in their view that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neither the Tanzania National Constructors (1970) Ltd. nor the accused as director of that company, had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anything to do with the importation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two caterpillars under consideration in the instant case. They were of the further considered view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accused, though undoubtedly a director of the Tanzania National Constructors (1970) Ltd. at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time, was not, as such director, concerned with the management of the affairs of the company.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They accordingly came to the conclusion that the accused, </w:t>
      </w:r>
      <w:proofErr w:type="spellStart"/>
      <w:r>
        <w:rPr>
          <w:rFonts w:ascii="Times New Roman" w:hAnsi="Times New Roman" w:cs="Times New Roman"/>
          <w:color w:val="000000"/>
        </w:rPr>
        <w:t>Hassanali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Ladhu</w:t>
      </w:r>
      <w:proofErr w:type="spellEnd"/>
      <w:r>
        <w:rPr>
          <w:rFonts w:ascii="Times New Roman" w:hAnsi="Times New Roman" w:cs="Times New Roman"/>
          <w:color w:val="000000"/>
        </w:rPr>
        <w:t xml:space="preserve"> Jaffer, is not guilty of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charged. I have not the slightest doubt in my mind that the assessors came to a proper and correct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about the matter, with which I entirely and unreservedly concur.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for the sake of argument and completeness of this record, even if one were to assume that I and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assessors are mistaken in the view that the accused in this case was not at the material time concerned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management of the affairs of the Tanzania National Constructors (1970) Ltd. and he was in fact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concerned, I do not think in my judgment, that this fact would have made the result of the case any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different, as there clearly is more than sufficient evidence on record which this court accepts, indicating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beyond any shadow of doubt that the accused at the material time had no knowledge and could not by the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reasonable diligence have had knowledge of the commission of the present offence.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conclusion, therefore, and for the reasons fully set out in this judgment, I find that the prosecution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not proved their case against the accused person beyond any reasonable doubt and I so hold. I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accordingly find the accused, </w:t>
      </w:r>
      <w:proofErr w:type="spellStart"/>
      <w:r>
        <w:rPr>
          <w:rFonts w:ascii="Times New Roman" w:hAnsi="Times New Roman" w:cs="Times New Roman"/>
          <w:color w:val="000000"/>
        </w:rPr>
        <w:t>Hassanali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Ladhu</w:t>
      </w:r>
      <w:proofErr w:type="spellEnd"/>
      <w:r>
        <w:rPr>
          <w:rFonts w:ascii="Times New Roman" w:hAnsi="Times New Roman" w:cs="Times New Roman"/>
          <w:color w:val="000000"/>
        </w:rPr>
        <w:t xml:space="preserve"> Jaffer, not guilty of the offence charged and acquit him.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is to be released from prison forthwith unless he is being lawfully detained there on some other</w:t>
      </w:r>
      <w:r w:rsidR="006D36A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matter. It is so ordered.</w:t>
      </w:r>
    </w:p>
    <w:p w:rsidR="007B66EE" w:rsidRDefault="007B66EE" w:rsidP="007B6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Accused acquitted.</w:t>
      </w:r>
    </w:p>
    <w:p w:rsidR="007B66EE" w:rsidRDefault="007B66EE" w:rsidP="007B6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Republic:</w:t>
      </w:r>
    </w:p>
    <w:p w:rsidR="007B66EE" w:rsidRDefault="007B66EE" w:rsidP="007B6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Tampi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(Principal State Attorney)</w:t>
      </w:r>
    </w:p>
    <w:p w:rsidR="007B66EE" w:rsidRDefault="007B66EE" w:rsidP="007B6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accused:</w:t>
      </w:r>
    </w:p>
    <w:p w:rsidR="003278A0" w:rsidRDefault="007B66EE" w:rsidP="007B66EE">
      <w:r>
        <w:rPr>
          <w:rFonts w:ascii="Times New Roman" w:hAnsi="Times New Roman" w:cs="Times New Roman"/>
          <w:i/>
          <w:iCs/>
          <w:color w:val="000000"/>
        </w:rPr>
        <w:t xml:space="preserve">MA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 xml:space="preserve">,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Salaam)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EE"/>
    <w:rsid w:val="003278A0"/>
    <w:rsid w:val="006D36A4"/>
    <w:rsid w:val="007B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5E21A-8322-4498-ADE4-1A0FC04B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2018-07-06T11:43:00Z</dcterms:created>
  <dcterms:modified xsi:type="dcterms:W3CDTF">2018-07-11T17:57:00Z</dcterms:modified>
</cp:coreProperties>
</file>