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Kenya Anti-Corruption Commission and others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okoth</w:t>
      </w:r>
    </w:p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January 2006</w:t>
      </w:r>
    </w:p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112/05</w:t>
      </w:r>
    </w:p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Nyamu, Ibrahim and Makhandia JJ</w:t>
      </w:r>
    </w:p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Nyamu, Ibrahim and Makhandia JJ</w:t>
      </w:r>
    </w:p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R Rogo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Amendment of statutes – Whether the Attorney General has power to make small amendments to</w:t>
      </w:r>
      <w:r w:rsidR="0014741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statutes.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Whether a person who has been discharged under section 89(5) of the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Criminal Procedure Code can be recharged for the same offence.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Interpretation of statutes – Effect of repealing a statute to continuing cases under that statute –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Saving provision in the law.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Judicial review – Jurisdiction of courts to grant declaratory remedies.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47416" w:rsidRDefault="007D04E3" w:rsidP="00147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had been charged with an alleged offence of corruption in office contrary to section 3(1) of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Prevention of Corruption Act (Chapter 65 of the Laws of Kenya). However, the said Act was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repealed when the Anti-Corruption and Economic Crimes Act, 2003 was enacted and became law on 2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2003.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thereafter raised a preliminary objection to the validity of the charge in view of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 in the law and she was subsequently discharged under section 89(5) of the Criminal Procedure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 (Chapter 75 of the Laws of Kenya).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 however rearrested and recharged the applicant with the same offence under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repealed law. She therefore filed this judicial review application seeking to prohibit the respondents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trying her on the basis of the same charge sheet. She also sought an order that a “rectification” done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Attorney General of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 (Chapter 2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Laws of Kenya) was null and void.</w:t>
      </w:r>
      <w:r w:rsidR="00147416">
        <w:rPr>
          <w:rFonts w:ascii="Times New Roman" w:hAnsi="Times New Roman" w:cs="Times New Roman"/>
          <w:color w:val="000000"/>
        </w:rPr>
        <w:t xml:space="preserve"> </w:t>
      </w:r>
    </w:p>
    <w:p w:rsidR="00147416" w:rsidRDefault="00147416" w:rsidP="00147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47416" w:rsidRDefault="007D04E3" w:rsidP="00147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discharge under section 89(5) of the Criminal Procedure Code does not amount to an acquittal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as to bar a further charge on the same facts. It is clear to the court that the situation covered by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is before any formal proceedings and it is the very first act the court does to ascertain if there is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triable offence as disclosed by the charge or complaint as drawn. It is indeed a threshold act.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now settled law that discharges under section 82(</w:t>
      </w:r>
      <w:r>
        <w:rPr>
          <w:rFonts w:ascii="Times New Roman" w:hAnsi="Times New Roman" w:cs="Times New Roman"/>
          <w:i/>
          <w:iCs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) and section 87(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Criminal Procedure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Code which are in turn brought about by a </w:t>
      </w:r>
      <w:r>
        <w:rPr>
          <w:rFonts w:ascii="Times New Roman" w:hAnsi="Times New Roman" w:cs="Times New Roman"/>
          <w:i/>
          <w:iCs/>
          <w:color w:val="000000"/>
        </w:rPr>
        <w:t xml:space="preserve">nolle prosequi </w:t>
      </w:r>
      <w:r>
        <w:rPr>
          <w:rFonts w:ascii="Times New Roman" w:hAnsi="Times New Roman" w:cs="Times New Roman"/>
          <w:color w:val="000000"/>
        </w:rPr>
        <w:t>and withdrawal respectively are no bar to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 proceedings founded on the same facts. These events do not happen at the threshold of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yet they do not constitute a bar to the institution of fresh charges or proceedings. It follows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by analogy, the rejection of a charge or complaint cannot constitute a bar to any subsequent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powers granted to the trial court under section 89(5) of the Criminal Procedure Code are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exercisable when in the opinion of the court the complaint does not disclose an offence and that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does not bar the prosecution from reframing the charges with a view to disclosing an offence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it in terms of supplying better particulars or stating the provisions of the law under which the charges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filed.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intention whatsoever in the Repealing Act ie the Anti-Corruption and Economic Crimes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2003 that the offences under the Prevention of Corruption Act Chapter 65 were to cease being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on the repeal of the Act, and since it is not disputed that the offence took place before the repeal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Prevention of Corruption Act, we find that the offences were saved by the Interpretation and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Provisions Act section 23(3).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violation of section 77(4) of the Constitution as the offence of corruption and the penalty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attached to the offences are defined under a written law as saved.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transitional statute does not show contrary intentions, offences and proceedings under a law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repealed remain in force. (</w:t>
      </w:r>
      <w:r>
        <w:rPr>
          <w:rFonts w:ascii="Times New Roman" w:hAnsi="Times New Roman" w:cs="Times New Roman"/>
          <w:i/>
          <w:iCs/>
          <w:color w:val="000000"/>
        </w:rPr>
        <w:t xml:space="preserve">R v Fisher </w:t>
      </w:r>
      <w:r>
        <w:rPr>
          <w:rFonts w:ascii="Times New Roman" w:hAnsi="Times New Roman" w:cs="Times New Roman"/>
          <w:color w:val="000000"/>
        </w:rPr>
        <w:t xml:space="preserve">1 All ER 1969 followed; </w:t>
      </w:r>
      <w:r>
        <w:rPr>
          <w:rFonts w:ascii="Times New Roman" w:hAnsi="Times New Roman" w:cs="Times New Roman"/>
          <w:i/>
          <w:iCs/>
          <w:color w:val="000000"/>
        </w:rPr>
        <w:t>National Housing Corporation Intex</w:t>
      </w:r>
      <w:r w:rsidR="0014741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Construction </w:t>
      </w:r>
      <w:r>
        <w:rPr>
          <w:rFonts w:ascii="Times New Roman" w:hAnsi="Times New Roman" w:cs="Times New Roman"/>
          <w:color w:val="000000"/>
        </w:rPr>
        <w:t>miscellaneous application number 131 of 1996 distinguished).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use of the word “repealed” in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was a mistake which the Attorney General could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pursuant to powers conferred on him by section 13 of the Revision Act. The Attorney General has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distinct powers under the section: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rectification of any clerical or printing errors appearing in the Laws of Kenya;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rectification of any other errors in a manner not inconsistent with the powers of revision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conferred by Chapter 1.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Pioneer General Assurance Society Limited v Ziwa </w:t>
      </w:r>
      <w:r>
        <w:rPr>
          <w:rFonts w:ascii="Times New Roman" w:hAnsi="Times New Roman" w:cs="Times New Roman"/>
          <w:color w:val="000000"/>
        </w:rPr>
        <w:t xml:space="preserve">(1974) EACA 161 applied; </w:t>
      </w:r>
      <w:r>
        <w:rPr>
          <w:rFonts w:ascii="Times New Roman" w:hAnsi="Times New Roman" w:cs="Times New Roman"/>
          <w:i/>
          <w:iCs/>
          <w:color w:val="000000"/>
        </w:rPr>
        <w:t>Jaramogi Oginga</w:t>
      </w:r>
      <w:r w:rsidR="0014741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Odinga v The Electoral Commission </w:t>
      </w:r>
      <w:r>
        <w:rPr>
          <w:rFonts w:ascii="Times New Roman" w:hAnsi="Times New Roman" w:cs="Times New Roman"/>
          <w:color w:val="000000"/>
        </w:rPr>
        <w:t>High Court civil case number 5936 of 1992 distinguished).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Quite apart from the powers conferred on the Attorney General under section 13 of the Revision Act,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has power to correctly interpret the relevant section so as to give effect to the intention of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meaning of the word repealed given to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is contrary to sense or reason and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would not be helpless even if it were to hold that the Attorney General had no powers under section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13. The word “repealing” would have to be inserted under the above rules of construction as well. (</w:t>
      </w:r>
      <w:r>
        <w:rPr>
          <w:rFonts w:ascii="Times New Roman" w:hAnsi="Times New Roman" w:cs="Times New Roman"/>
          <w:i/>
          <w:iCs/>
          <w:color w:val="000000"/>
        </w:rPr>
        <w:t>The</w:t>
      </w:r>
      <w:r w:rsidR="0014741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King v Vasey and Lally </w:t>
      </w:r>
      <w:r>
        <w:rPr>
          <w:rFonts w:ascii="Times New Roman" w:hAnsi="Times New Roman" w:cs="Times New Roman"/>
          <w:color w:val="000000"/>
        </w:rPr>
        <w:t>2 KB 750).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23(1) of the Anti-Corruption and Economic Crimes Act, an investigator and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have all the powers, privileges and immunities of a police officer as set out in section 19 of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Act. It cannot be reasonably disputed that a police officer has powers to present a charge or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 before a competent court.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jurisdiction under sections 8 and 9 of the Law Reform Act (Chapter 26) is confined only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grant of the judicial orders of certiorari, prohibition and mandamus. Declarations are outside the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court in judicial review.</w:t>
      </w:r>
      <w:r w:rsidR="001474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  <w:r w:rsidR="00147416">
        <w:rPr>
          <w:rFonts w:ascii="Times New Roman" w:hAnsi="Times New Roman" w:cs="Times New Roman"/>
          <w:color w:val="000000"/>
        </w:rPr>
        <w:t xml:space="preserve"> </w:t>
      </w:r>
    </w:p>
    <w:p w:rsidR="00147416" w:rsidRDefault="00147416" w:rsidP="00147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D04E3" w:rsidRDefault="007D04E3" w:rsidP="00147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Jaramogi Oginga Odinga v The Electoral Commission </w:t>
      </w:r>
      <w:r>
        <w:rPr>
          <w:rFonts w:ascii="Times New Roman" w:hAnsi="Times New Roman" w:cs="Times New Roman"/>
          <w:color w:val="000000"/>
        </w:rPr>
        <w:t xml:space="preserve">High Court civil case number 5936 of 1992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Housing Corporation Intex Construction Nairobi </w:t>
      </w:r>
      <w:r>
        <w:rPr>
          <w:rFonts w:ascii="Times New Roman" w:hAnsi="Times New Roman" w:cs="Times New Roman"/>
          <w:color w:val="000000"/>
        </w:rPr>
        <w:t>High Court Miscellaneous application number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131 of 1996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Pioneer General Assurance Society Limited v Ziwa </w:t>
      </w:r>
      <w:r>
        <w:rPr>
          <w:rFonts w:ascii="Times New Roman" w:hAnsi="Times New Roman" w:cs="Times New Roman"/>
          <w:color w:val="000000"/>
        </w:rPr>
        <w:t xml:space="preserve">(1974) EACA 161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Republic v Antonine Auma Okoth </w:t>
      </w:r>
      <w:r>
        <w:rPr>
          <w:rFonts w:ascii="Times New Roman" w:hAnsi="Times New Roman" w:cs="Times New Roman"/>
          <w:color w:val="000000"/>
        </w:rPr>
        <w:t>case number 5 of 2004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7D04E3" w:rsidRDefault="007D04E3" w:rsidP="007D0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Fisher </w:t>
      </w:r>
      <w:r>
        <w:rPr>
          <w:rFonts w:ascii="Times New Roman" w:hAnsi="Times New Roman" w:cs="Times New Roman"/>
          <w:color w:val="000000"/>
        </w:rPr>
        <w:t xml:space="preserve">All ER [1969]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B7022" w:rsidRDefault="007D04E3" w:rsidP="007D04E3">
      <w:r>
        <w:rPr>
          <w:rFonts w:ascii="Times New Roman" w:hAnsi="Times New Roman" w:cs="Times New Roman"/>
          <w:i/>
          <w:iCs/>
          <w:color w:val="000000"/>
        </w:rPr>
        <w:t>The King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E3"/>
    <w:rsid w:val="00147416"/>
    <w:rsid w:val="007D04E3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207EC-4C16-457F-A87C-AFDD3B2B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2018-07-05T08:41:00Z</dcterms:created>
  <dcterms:modified xsi:type="dcterms:W3CDTF">2018-07-11T17:53:00Z</dcterms:modified>
</cp:coreProperties>
</file>