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2D" w:rsidRDefault="00A2142D" w:rsidP="00661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Kenya Anti-Corruption Commission and others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okoth</w:t>
      </w:r>
      <w:proofErr w:type="spellEnd"/>
    </w:p>
    <w:p w:rsidR="00A2142D" w:rsidRDefault="00A2142D" w:rsidP="00661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A2142D" w:rsidRDefault="00A2142D" w:rsidP="00661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January 2006</w:t>
      </w:r>
    </w:p>
    <w:p w:rsidR="00A2142D" w:rsidRDefault="00A2142D" w:rsidP="00661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112/05</w:t>
      </w:r>
    </w:p>
    <w:p w:rsidR="00A2142D" w:rsidRDefault="00A2142D" w:rsidP="00661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, Ibrahim and </w:t>
      </w:r>
      <w:proofErr w:type="spellStart"/>
      <w:r>
        <w:rPr>
          <w:rFonts w:ascii="Times New Roman" w:hAnsi="Times New Roman" w:cs="Times New Roman"/>
          <w:color w:val="000000"/>
        </w:rPr>
        <w:t>Makhandia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A2142D" w:rsidRDefault="00A2142D" w:rsidP="00661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, Ibrahim and </w:t>
      </w:r>
      <w:proofErr w:type="spellStart"/>
      <w:r>
        <w:rPr>
          <w:rFonts w:ascii="Times New Roman" w:hAnsi="Times New Roman" w:cs="Times New Roman"/>
          <w:color w:val="000000"/>
        </w:rPr>
        <w:t>Makhandia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A2142D" w:rsidRDefault="00A2142D" w:rsidP="00661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2142D" w:rsidRDefault="00A2142D" w:rsidP="00661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A2142D" w:rsidRDefault="00A2142D" w:rsidP="00A2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Amendment of statutes – Whether the Attorney General has power to make small amendments to</w:t>
      </w:r>
      <w:r w:rsidR="00661B3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statutes.</w:t>
      </w:r>
    </w:p>
    <w:p w:rsidR="00A2142D" w:rsidRDefault="00A2142D" w:rsidP="00A2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Whether a person who has been discharged under section 89(5) of the</w:t>
      </w:r>
    </w:p>
    <w:p w:rsidR="00A2142D" w:rsidRDefault="00A2142D" w:rsidP="00A2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Criminal Procedure Code can be recharged for the same offence.</w:t>
      </w:r>
    </w:p>
    <w:p w:rsidR="00A2142D" w:rsidRDefault="00A2142D" w:rsidP="00A2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Interpretation of statutes – Effect of repealing a statute to continuing cases under that statute –</w:t>
      </w:r>
    </w:p>
    <w:p w:rsidR="00A2142D" w:rsidRDefault="00A2142D" w:rsidP="00A2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Saving provision in the law.</w:t>
      </w:r>
    </w:p>
    <w:p w:rsidR="00A2142D" w:rsidRDefault="00A2142D" w:rsidP="00A2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Judicial review – Jurisdiction of courts to grant declaratory remedies.</w:t>
      </w:r>
    </w:p>
    <w:p w:rsidR="00A2142D" w:rsidRDefault="00661B30" w:rsidP="00661B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Ibrahim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Makhandia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</w:t>
      </w:r>
      <w:r>
        <w:rPr>
          <w:rFonts w:ascii="Times New Roman" w:hAnsi="Times New Roman" w:cs="Times New Roman"/>
          <w:color w:val="000000"/>
        </w:rPr>
        <w:t>: The applicant has by an application dated 11 August 2004 sought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following orders: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That the applicant be granted an order of Prohibition to prohibit the respondents from hearing,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prosecuting or trying the applicant on the basis of the charge filed in the Chief Magistrates court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being Anti-Corruption </w:t>
      </w:r>
      <w:r>
        <w:rPr>
          <w:rFonts w:ascii="Times New Roman" w:hAnsi="Times New Roman" w:cs="Times New Roman"/>
          <w:i/>
          <w:iCs/>
          <w:color w:val="000000"/>
        </w:rPr>
        <w:t xml:space="preserve">Republic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Antonine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Okoth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number 5 of 2004 for the alleged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of corruption in office contrary to section 3(1) of the Prevention of Corruption Act Chapter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65 Laws of Kenya (Now Repealed) as read with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Act Chapter 2 Laws of Kenya or any other similar charges or complaint.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That this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be pleased to grant a declaratory order that the purported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“Rectification” by the Attorney General, by Legal Notice number 162 of 2003 of 9 October 2003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 Chapter 2 Laws of Kenya 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has at all times been null and void and of no effect.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That the costs of this application be provided for.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grounds upon which the relief is sought as outlined in the Statement are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applicant herein was first arrested and arraigned in court on 28 January 2003 and charged with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alleged offence of corruption in office contrary to section 3(1) of the Prevention of Corruption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Chapter 65 of the Laws of Kenya.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applicant’s plea was not taken until the Attorney General gave sanction or consent to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prosecute the applicant on 28 May 2003. Similarly, the </w:t>
      </w:r>
      <w:r w:rsidR="00661B30">
        <w:rPr>
          <w:rFonts w:ascii="Times New Roman" w:hAnsi="Times New Roman" w:cs="Times New Roman"/>
          <w:color w:val="000000"/>
        </w:rPr>
        <w:t>applicant’s</w:t>
      </w:r>
      <w:r>
        <w:rPr>
          <w:rFonts w:ascii="Times New Roman" w:hAnsi="Times New Roman" w:cs="Times New Roman"/>
          <w:color w:val="000000"/>
        </w:rPr>
        <w:t xml:space="preserve"> trial would not commence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said consent was given.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The law under which the applicant was charged was however repealed when the Anti-Corruption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Economic Crimes Act 2003 was enacted and became law on 2 May 2003. Under this new law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the Prevention of Corruption Act Chapter 65 of the Laws of Kenya were repealed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prosecutions commenced under it were however not re-enacted or saved.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When the said case came up for hearing, and before the hearing commenced, the applicant raised a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as to the validity of the charge before the court in view of the repeal of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under which she was charged. The Preliminary Objection was heard and upheld and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was discharged under section 89(5) of the Criminal Procedure Act Chapter 75 of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of Kenya. No appeal was preferred against the ruling.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In total disregard of the said decision, the second respondent went ahead to arrest the applicant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was again arraigned in court on 3 March 2004 in Chief Magistrates Court Anti-Corruption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number 5 of 2004 charged with the same offence and under the same repealed law, namely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Prevention of Corruption Act Chapter 65 of the Laws of Kenya.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In preferring the same charges against the applicant the second respondent purported to add to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the words “As Read with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2 Laws of Kenya” and have purported to rely on a purported amendment by the Attorney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disguised as “Rectification” of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Act Chapter 2 Laws of Kenya through Legal Notice number 162 of 9 October 2003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purported rectification is and has at all times been null and void and of no effect.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) The charge which the applicant now faces and upon which the respondents intended to prosecute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on 3 July 2004 is a nullity in law for the following reasons: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statute under which the applicant has been charged, namely the Prevention of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 Act Chapter 65 of Laws of Kenya now stands repealed, the repealing statute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come into operation on 2 May 2003.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661B30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(ii) T</w:t>
      </w:r>
      <w:r w:rsidR="00A2142D">
        <w:rPr>
          <w:rFonts w:ascii="Times New Roman" w:hAnsi="Times New Roman" w:cs="Times New Roman"/>
          <w:color w:val="000000"/>
        </w:rPr>
        <w:t>here is already a decision, by a court of competent and coordinate jurisdiction given in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Chief Magistrates Court Anti-Corruption case number 6 of 2003 on 23 August 2003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rejecting the same charge and no appeal has been preferred against the decision.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The purported “Rectification” by the third respondent by Legal Notice number 162 of 9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October 2003 of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 Chapter 2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Laws of Kenya is null and void and of no effect.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(iv) The Interpretation and General Provisions Act Chapter 2 of the Laws of Kenya is not a penal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statute and does not create or define any offence or the offence with which the applicant 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and cannot validate the charge before the court which is founded on a repealed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statute.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(v) The charge has in any event, been framed, signed and filed by a person or body which had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and/or has no capacity in law to file any charge or prosecute the applicant. The charge 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invalid.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661B30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(vi)</w:t>
      </w:r>
      <w:proofErr w:type="gramEnd"/>
      <w:r w:rsidR="00A2142D">
        <w:rPr>
          <w:rFonts w:ascii="Times New Roman" w:hAnsi="Times New Roman" w:cs="Times New Roman"/>
          <w:color w:val="000000"/>
        </w:rPr>
        <w:t>The applicant’s intended prosecution is therefore illegal and unlawful. The applicant’s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liberty is therefore at stake.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The following documents have been filed in opposition to the application: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 xml:space="preserve">(1) </w:t>
      </w:r>
      <w:proofErr w:type="gramStart"/>
      <w:r w:rsidR="00A2142D">
        <w:rPr>
          <w:rFonts w:ascii="Times New Roman" w:hAnsi="Times New Roman" w:cs="Times New Roman"/>
          <w:color w:val="000000"/>
        </w:rPr>
        <w:t>An</w:t>
      </w:r>
      <w:proofErr w:type="gramEnd"/>
      <w:r w:rsidR="00A2142D">
        <w:rPr>
          <w:rFonts w:ascii="Times New Roman" w:hAnsi="Times New Roman" w:cs="Times New Roman"/>
          <w:color w:val="000000"/>
        </w:rPr>
        <w:t xml:space="preserve"> affidavit sworn by Eunice </w:t>
      </w:r>
      <w:proofErr w:type="spellStart"/>
      <w:r w:rsidR="00A2142D">
        <w:rPr>
          <w:rFonts w:ascii="Times New Roman" w:hAnsi="Times New Roman" w:cs="Times New Roman"/>
          <w:color w:val="000000"/>
        </w:rPr>
        <w:t>Muriithi</w:t>
      </w:r>
      <w:proofErr w:type="spellEnd"/>
      <w:r w:rsidR="00A2142D">
        <w:rPr>
          <w:rFonts w:ascii="Times New Roman" w:hAnsi="Times New Roman" w:cs="Times New Roman"/>
          <w:color w:val="000000"/>
        </w:rPr>
        <w:t xml:space="preserve"> on 12 November 2004 and filed on 12 November 2004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2142D">
        <w:rPr>
          <w:rFonts w:ascii="Times New Roman" w:hAnsi="Times New Roman" w:cs="Times New Roman"/>
          <w:color w:val="000000"/>
        </w:rPr>
        <w:t>Muriithi</w:t>
      </w:r>
      <w:proofErr w:type="spellEnd"/>
      <w:r w:rsidR="00A2142D">
        <w:rPr>
          <w:rFonts w:ascii="Times New Roman" w:hAnsi="Times New Roman" w:cs="Times New Roman"/>
          <w:color w:val="000000"/>
        </w:rPr>
        <w:t xml:space="preserve"> is a police officer attached to the Kenya Anti-Corruption Commission.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(2) Grounds of Opposition dated 17 November 2004 and filed on the same date by the Attorney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General.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(3) List of Authorities filed on 19 November 2004 by the second respondent together with a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Supplementary List of Authorities filed by the same respondent on 27 April 2005.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(4) The second respondent’s skeleton arguments dated 5 May 2005.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 xml:space="preserve">(5) The first and third </w:t>
      </w:r>
      <w:proofErr w:type="gramStart"/>
      <w:r w:rsidR="00A2142D">
        <w:rPr>
          <w:rFonts w:ascii="Times New Roman" w:hAnsi="Times New Roman" w:cs="Times New Roman"/>
          <w:color w:val="000000"/>
        </w:rPr>
        <w:t>respondents</w:t>
      </w:r>
      <w:proofErr w:type="gramEnd"/>
      <w:r w:rsidR="00A2142D">
        <w:rPr>
          <w:rFonts w:ascii="Times New Roman" w:hAnsi="Times New Roman" w:cs="Times New Roman"/>
          <w:color w:val="000000"/>
        </w:rPr>
        <w:t xml:space="preserve"> skeleton arguments – undated but relied on during the hearing.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Grounds of Opposition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A2142D">
        <w:rPr>
          <w:rFonts w:ascii="Times New Roman" w:hAnsi="Times New Roman" w:cs="Times New Roman"/>
          <w:color w:val="000000"/>
        </w:rPr>
        <w:t>The</w:t>
      </w:r>
      <w:proofErr w:type="gramEnd"/>
      <w:r w:rsidR="00A2142D">
        <w:rPr>
          <w:rFonts w:ascii="Times New Roman" w:hAnsi="Times New Roman" w:cs="Times New Roman"/>
          <w:color w:val="000000"/>
        </w:rPr>
        <w:t xml:space="preserve"> grounds relied on by the respondents are: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(1) A discharge of an accused person under section 89(5) of the Criminal Procedure Code Chapter 75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Laws of Kenya is not a bar to any subsequent criminal charges founded on the same facts.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(2) The repeal of the Prevention of Corruption Act, Chapter 65 of the Laws of Kenya on 2 May 2003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did not affect any liability incurred by the applicant under the said Act, before the repeal.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(3) The charges preferred against the applicant in Nairobi Chief Magistrate Anti-Corruption are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number 5 of 2004 are valid by virtue of section 23(3)(</w:t>
      </w:r>
      <w:r w:rsidR="00A2142D">
        <w:rPr>
          <w:rFonts w:ascii="Times New Roman" w:hAnsi="Times New Roman" w:cs="Times New Roman"/>
          <w:i/>
          <w:iCs/>
          <w:color w:val="000000"/>
        </w:rPr>
        <w:t>e</w:t>
      </w:r>
      <w:r w:rsidR="00A2142D">
        <w:rPr>
          <w:rFonts w:ascii="Times New Roman" w:hAnsi="Times New Roman" w:cs="Times New Roman"/>
          <w:color w:val="000000"/>
        </w:rPr>
        <w:t>) of the Interpretation and General</w:t>
      </w:r>
      <w:r>
        <w:rPr>
          <w:rFonts w:ascii="Times New Roman" w:hAnsi="Times New Roman" w:cs="Times New Roman"/>
          <w:color w:val="000000"/>
        </w:rPr>
        <w:t xml:space="preserve"> </w:t>
      </w:r>
      <w:r w:rsidR="00A2142D">
        <w:rPr>
          <w:rFonts w:ascii="Times New Roman" w:hAnsi="Times New Roman" w:cs="Times New Roman"/>
          <w:color w:val="000000"/>
        </w:rPr>
        <w:t>Provisions Act, Chapter 2 of the Laws of Kenya.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The Attorney General’s action vide Legal Notice 162 of 2003 was not an amendment of section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Act, Chapter 2 of the Laws of Kenya but a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correction of an error in the said provision.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(5) The Attorney General’s action vide the aforesaid Legal Notice was pursuant to powers conferred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him by section 13 of the Revision of Laws Chapter 1 of the Laws of Kenya, to rectify errors in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and therefore his action did not amount to an amendment of the Law.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(6) The charges the applicant is facing in criminal case number 5 of 2004 are valid and known to law.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661B30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(7) The Kenya Anti-Corruption Commission is a body duly established by law and is a competent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to file the charges against the applicant by virtue of section 23 of the Anti-Corruption and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Economic Criminal Act, 2003 which confers police powers, privileges and immunities on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or investigator.</w:t>
      </w:r>
      <w:r w:rsidR="00661B30">
        <w:rPr>
          <w:rFonts w:ascii="Times New Roman" w:hAnsi="Times New Roman" w:cs="Times New Roman"/>
          <w:color w:val="000000"/>
        </w:rPr>
        <w:t xml:space="preserve"> </w:t>
      </w:r>
    </w:p>
    <w:p w:rsidR="00A2142D" w:rsidRDefault="00A2142D" w:rsidP="00661B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(8) Section 73 of the Anti-Corruption and Economic Crimes Act, 2003 empowered the Kenya </w:t>
      </w:r>
      <w:proofErr w:type="spellStart"/>
      <w:r>
        <w:rPr>
          <w:rFonts w:ascii="Times New Roman" w:hAnsi="Times New Roman" w:cs="Times New Roman"/>
          <w:color w:val="000000"/>
        </w:rPr>
        <w:t>Anti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</w:t>
      </w:r>
      <w:proofErr w:type="spellEnd"/>
      <w:r>
        <w:rPr>
          <w:rFonts w:ascii="Times New Roman" w:hAnsi="Times New Roman" w:cs="Times New Roman"/>
          <w:color w:val="000000"/>
        </w:rPr>
        <w:t xml:space="preserve"> Commission to take over operations of the anti-Corruption Police Unit, the body that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initially investigated.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(9) A declaratory order cannot be granted in an application for judicial review under Order LIII of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(10) The applicant’s application is misconceived and an abuse of the court process and the same should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dismissed with costs.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who is charged with the offence of corruption contrary to section 3(1) of the Prevention of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 Act (now repealed) has raised the following issues for determination: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What is the legal effect of a discharge of an accused person under section 89(5) of the Criminal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Code?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What is the legal effect of the repeal of the Prevention of Corruption Act, Chapter 65 by the </w:t>
      </w:r>
      <w:proofErr w:type="spellStart"/>
      <w:r>
        <w:rPr>
          <w:rFonts w:ascii="Times New Roman" w:hAnsi="Times New Roman" w:cs="Times New Roman"/>
          <w:color w:val="000000"/>
        </w:rPr>
        <w:t>Anti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</w:t>
      </w:r>
      <w:proofErr w:type="spellEnd"/>
      <w:r>
        <w:rPr>
          <w:rFonts w:ascii="Times New Roman" w:hAnsi="Times New Roman" w:cs="Times New Roman"/>
          <w:color w:val="000000"/>
        </w:rPr>
        <w:t xml:space="preserve"> and Economic Crimes Act number 3 of 2003?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Did the Attorney General properly invoke the powers vested in him by section 13 of the Revision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through Gazette Notice number 162 of 2003 in making the changes he made to section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Act, Chapter 2?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Are the charges brought against the applicant in criminal case number 5 of 2004, based on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Prevention of Corruption Act Chapter 65 (now repealed) valid?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(5) Is the Anti-Corruption Commission competent in law in preferring charges against the applicant?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(6) Can a Judicial review court issue the declaratory orders sought in prayer (2) of the application?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I. Discharge under section 89(5) of the Civil Procedure Code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89(5) of the Criminal Procedure Code reads: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the magistrate is of the opinion that a complaint or formal charge made or presented under this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does not disclose an offence, the magistrate shall make an order refusing to admit the complaint or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formal charge and shall record his reason for the order.”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is of the view that a discharge under this section does not amount to an acquittal so as to bar a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charge on the same facts. It is clear to the court that the situation covered by the section is before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formal proceedings and it is the very first act the court does to ascertain if there is triable offence as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disclosed by the charge or complaint as drawn. It is indeed a threshold act. It is now settled law that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discharges arising from section 82(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and section 87(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Criminal Procedure Code which are in turn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brought about by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nolle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prosequi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withdrawal respectively are no bar to subsequent proceedings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founded on the same facts. These events do not happen at the threshold of the proceedings yet they do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constitute a bar to the institution of fresh charges or proceedings. It follows therefore, by analogy,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rejection of a charge or complaint cannot constitute a bar to any subsequent proceedings. We uphold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Public Prosecution’s submission that the powers granted to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court under section 89(5) of the Criminal Procedure Code are exercisable when in the opinion of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the complaint does not disclose an offence and that the provision does not bar the prosecution from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reframing the charges with a view to disclosing an offence be it in terms of supplying better particulars or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stating the provisions of law under which the charges are filed. It is also significant to appreciate that a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 is distinct from an acquittal in terms of consequences as mentioned above. Charge sheet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(AA0-2) which was exhibited in these proceedings and which is the subject matter of Anti-Corruption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number 5 of 2004 is a modified version of the charge sheet in the earlier case that is Anti-Corruption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number 6 of 2003 where the applicant herein was discharged. In our view the incorporation of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 Chapter 2 in the charge sheet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constitutes additional particulars and also serves to clarify the charge further and cannot be fatal to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framing of the charge. All it means is that if you read the relevant provision of the repealed Act which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defines the offence together with 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an offence is disclosed.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 the magistrate in the Anti-Corruption case number 5 of 2004 was perfectly in order in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admitting the charge as framed.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issue we hold that the discharge of the applicant in the earlier case is not a bar to the charge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proceedings in ACC case number 5 of 2004.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2. Legal Effect of the Repeal of the Prevention of Corruption Act Chapter 65 by the </w:t>
      </w:r>
      <w:proofErr w:type="spellStart"/>
      <w:r>
        <w:rPr>
          <w:rFonts w:ascii="Times New Roman" w:hAnsi="Times New Roman" w:cs="Times New Roman"/>
          <w:color w:val="000000"/>
        </w:rPr>
        <w:t>Anti Corruption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Economic Crimes Act number 3 of 2003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common ground that the Prevention of Corruption Act Chapter 65 was repealed on 2 May 2003 by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Anti Corruption</w:t>
      </w:r>
      <w:proofErr w:type="spellEnd"/>
      <w:r>
        <w:rPr>
          <w:rFonts w:ascii="Times New Roman" w:hAnsi="Times New Roman" w:cs="Times New Roman"/>
          <w:color w:val="000000"/>
        </w:rPr>
        <w:t xml:space="preserve"> and Economic Crimes Act number 3 of 2003.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the applicant’s case that any liability or offence under the repealed Act cannot outlive its repeal.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applicant’s contention, is principally based on the common law because the rule at common law 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effect of a repeal was to obliterate the law as if it never existed, but subject to any savings in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repealing Act and also the general statutory provisions as to the effects of repeal. This position is borne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Halsburys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Laws of England </w:t>
      </w:r>
      <w:r>
        <w:rPr>
          <w:rFonts w:ascii="Times New Roman" w:hAnsi="Times New Roman" w:cs="Times New Roman"/>
          <w:color w:val="000000"/>
        </w:rPr>
        <w:t>(4ed) Volume 44(1) paragraph 1296 which states: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“To repeal an Act is to cause it to cease to be part of the corpus juris or body of law. The general principle is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except as to the transactions past and closed, an Act or enactment which is repealed is to be treated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thereafter as if it had never existed. However, the operation of the principle is subject to any savings made,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expressly or by implication, by the repealing enactment and in most cases is also subject to the general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statutory provisions as to the effects of repeal.”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above quotation the savings can either be made in the repealing Act or in a general statute.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same point concerning the mode of saving is repeated and </w:t>
      </w:r>
      <w:proofErr w:type="spellStart"/>
      <w:r>
        <w:rPr>
          <w:rFonts w:ascii="Times New Roman" w:hAnsi="Times New Roman" w:cs="Times New Roman"/>
          <w:color w:val="000000"/>
        </w:rPr>
        <w:t>re-emphasised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in the work cited to us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DPP that is, Principles of Statutory Interpretation by Justice Singh at 484-485 where it 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observed: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“Under the common law, the consequences of a repeal of a statute are very drastic. Except as to transactions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past and closed, a statute after repeal is as completely obliterated as if it had never existed. Another result of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repeal.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.is to revive the law in force at the commencement of the repealed statute. The confusion resulting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all these consequences gave rise to the practice of inserting saving provisions in repealing statutes</w:t>
      </w:r>
      <w:r w:rsidR="00661B30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later on, to obviate the necessity of inserting a saving clause in each and every repealing statute, a general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 was made in section 38(2) of the Interpretation Act 1889.”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context of the Kenyan situation the general provision on repeal of statutes and the subsequent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enactment of others is 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 Chapter 2 of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Laws of Kenya. The provision after correction of one word “repealed” with “repealing”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challenged Legal Notice number 162 of 2003 reads as follows: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 written law repeals in whole or in part another written law, then, unless the contrary intention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appears, the repeal shall not affect any investigation, legal proceedings or remedy in respect of a right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privilege obligation, liability, penalty forfeiture or punishment as aforesaid, and any such investigation, legal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or remedy may be instituted, confirmed or enforced, and any such penalty, forfeiture or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punishment may be imposed as if the repealing written law had not been made.”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question therefore is whether there is a contrary intention in the repealing Act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Anti-Corruption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Economic Crimes Act 2003. We find no such contrary intention in the repealing Act. In particular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transitional, section 71(2) of the Anti-Corruption and Economics Crimes Act of 2003 provides: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Act other than part V applies, with any necessary modification, with respect to offences described in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subsection and for that purpose such offences shall be deemed to be corruption and economic crimes.”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find no intention whatsoever from the provision of the repealing Act that the offences under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Prevention of Corruption Act Chapter 65 were to cease being offences on the repeal of the Act, and since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disputed that the offence took place before the repeal of the Prevention of Corruption Act we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that the offences were saved by the Interpretation and General Provisions Act 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). We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find that there is no violation of section 77(4) of the Constitution as the offence of corruption and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penalty attached to the offences are defined under a written law as saved.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3. Powers under section 13 of the Revision Act Chapter 1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Turning to the rectification of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Chapter 2 by the Attorney General pursuant to section 13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Revision Act Chapter 1 the learned DPP took us through the history of the Interpretation and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Provisions Act Chapter 2.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He referred to 1912 Interpretation and General Clauses Ordinance Chapter 1 – under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equivalent section 7(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Act the word appearing in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is “repealing.”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Under the revised 1964 edition of Chapter 2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Interpretation and General Provisions Act in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the word is “repealing”.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Under the 1970 edition of Chapter 2 in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), the word is again “repealing.”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d</w:t>
      </w:r>
      <w:proofErr w:type="gramEnd"/>
      <w:r>
        <w:rPr>
          <w:rFonts w:ascii="Times New Roman" w:hAnsi="Times New Roman" w:cs="Times New Roman"/>
          <w:color w:val="000000"/>
        </w:rPr>
        <w:t>) However under the revised 1983 edition of Chapter 2 the word “repealed” is introduced for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time.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has not been any amendment to the section all these years. By Legal Notice number 162 of 1963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 General corrected various typographical, clerical or printing errors vide the Gazette Notice.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DPP has invited us to note and to hold that the changing of the word repealing to repealed in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1983 was on account of a typographical, clerical or printing error because the subsection as a whole no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longer makes grammatical sense when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 with the word “repealed” and without the word “repealing”. Indeed a plain and ordinary reading of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revised 1983 edition results in an absurdity. The DPP has also invited us to hold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rectification of the error did not alter the substance of 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nor is it inconsistent with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powers conferred on the Attorney General under section 13 of the Revision Act Chapter 1 of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Laws of Kenya. Before rectification by the Attorney General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Legal Notice 162 of 2003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 read: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 written law repeals in whole or in part another written law, then, unless the contrary intention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appears the repeal shall not affect any investigation, legal proceedings or remedy in respect of a right,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privilege obligation, liability, penalty, forfeiture or punishment aforesaid, and any such investigation legal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or remedy may be instituted, confirmed or enforced, and . . . any such penalty, forfeiture or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punishment may be imposed as if the repealed written, law had not been made.”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have great sympathy for the submissions made by the learned DPP and we have no hesitation 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stating that we sustain his submission on this issue as well.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reinforce the point section 16(1) of the English Interpretation Act of 1978 section 16(1) which 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equivalent of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 has the word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“repealing” and not the word “repealed”. In </w:t>
      </w:r>
      <w:r>
        <w:rPr>
          <w:rFonts w:ascii="Times New Roman" w:hAnsi="Times New Roman" w:cs="Times New Roman"/>
          <w:i/>
          <w:iCs/>
          <w:color w:val="000000"/>
        </w:rPr>
        <w:t xml:space="preserve">R v Fisher </w:t>
      </w:r>
      <w:r>
        <w:rPr>
          <w:rFonts w:ascii="Times New Roman" w:hAnsi="Times New Roman" w:cs="Times New Roman"/>
          <w:color w:val="000000"/>
        </w:rPr>
        <w:t>[1969] 1 All ER 1 at 100 the Court of Appeal held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if the transitional statute does not show contrary intentions offences and proceedings under a law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repealed remain in force.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case were that the appellant was arrested on 28 October 1967 and later charged with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an accessory after the fact to larceny under the provisions of the Accessories and Abettors Act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1861 and the Larceny Act 1861. The enactments were repealed by the Criminal Law Act 1967, which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into force on 1 January 1968. On 2 January 1968 the indictment was signed and the appellant was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arraigned on 5 March. The court held: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can find nothing in the Criminal Law Act 1967 that requires us to hold that the change in law as from 1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January 1968 means that the offence of accessory after the fact has never existed. We are satisfied that the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offence did exist at the time the appellant committed it and the statutory provisions providing for its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indictment and punishment remained in force. We conclude by saying that without the clearest words we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think Parliament intended that accessories after the fact to serious crime, say murder or armed robbery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latter part of 1967 should not be guilty of any offences.”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light of the above we are unable to follow our brother Justice </w:t>
      </w:r>
      <w:proofErr w:type="spellStart"/>
      <w:r>
        <w:rPr>
          <w:rFonts w:ascii="Times New Roman" w:hAnsi="Times New Roman" w:cs="Times New Roman"/>
          <w:color w:val="000000"/>
        </w:rPr>
        <w:t>Mbogholi</w:t>
      </w:r>
      <w:proofErr w:type="spellEnd"/>
      <w:r>
        <w:rPr>
          <w:rFonts w:ascii="Times New Roman" w:hAnsi="Times New Roman" w:cs="Times New Roman"/>
          <w:color w:val="000000"/>
        </w:rPr>
        <w:t xml:space="preserve"> J holding in </w:t>
      </w:r>
      <w:r>
        <w:rPr>
          <w:rFonts w:ascii="Times New Roman" w:hAnsi="Times New Roman" w:cs="Times New Roman"/>
          <w:i/>
          <w:iCs/>
          <w:color w:val="000000"/>
        </w:rPr>
        <w:t>National</w:t>
      </w:r>
      <w:r w:rsidR="00661B3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Housing Corporation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Intex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Construction </w:t>
      </w:r>
      <w:r>
        <w:rPr>
          <w:rFonts w:ascii="Times New Roman" w:hAnsi="Times New Roman" w:cs="Times New Roman"/>
          <w:color w:val="000000"/>
        </w:rPr>
        <w:t>Nairobi High Court miscellaneous application number 131 of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1996 which was cited by the learned Counsel for the applicant,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Amuga</w:t>
      </w:r>
      <w:proofErr w:type="spellEnd"/>
      <w:r>
        <w:rPr>
          <w:rFonts w:ascii="Times New Roman" w:hAnsi="Times New Roman" w:cs="Times New Roman"/>
          <w:color w:val="000000"/>
        </w:rPr>
        <w:t>. It appears to follow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common-law position as stated above hence our departure.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cap this finding even the earlier English Interpretation Act of 1889 section 38(1) had the same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wording as per the Revised Edition of 1983 because the operative words are: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“. 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.as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the repealing Act had not been passed –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Halsburys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Volume 44(1) paragraph 1308”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also the same position with the Interpretation Act (Chapter 16 Laws of Uganda) which is </w:t>
      </w:r>
      <w:r>
        <w:rPr>
          <w:rFonts w:ascii="Times New Roman" w:hAnsi="Times New Roman" w:cs="Times New Roman"/>
          <w:i/>
          <w:iCs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pari</w:t>
      </w:r>
      <w:proofErr w:type="spellEnd"/>
      <w:r w:rsidR="00661B30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materia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our Chapter 2 – see </w:t>
      </w:r>
      <w:r>
        <w:rPr>
          <w:rFonts w:ascii="Times New Roman" w:hAnsi="Times New Roman" w:cs="Times New Roman"/>
          <w:i/>
          <w:iCs/>
          <w:color w:val="000000"/>
        </w:rPr>
        <w:t xml:space="preserve">Pioneer General Assurance Society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Ziwa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(1974) EACA 161.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hold that the use of the word repealed in 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was a mistake which the Attorney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could correct pursuant to powers conferred on him by section 13 of the Revision Act. Section 13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Chapter 1 states: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Attorney General may, by order in the Gazette rectify any clerical or printing error appearing in the laws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Kenya or rectify in a manner not inconsistent with the powers of revision conferred by the Act any other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error so appearing.”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follows therefore that the Attorney General has two </w:t>
      </w:r>
      <w:proofErr w:type="spellStart"/>
      <w:r>
        <w:rPr>
          <w:rFonts w:ascii="Times New Roman" w:hAnsi="Times New Roman" w:cs="Times New Roman"/>
          <w:color w:val="000000"/>
        </w:rPr>
        <w:t>distint</w:t>
      </w:r>
      <w:proofErr w:type="spellEnd"/>
      <w:r>
        <w:rPr>
          <w:rFonts w:ascii="Times New Roman" w:hAnsi="Times New Roman" w:cs="Times New Roman"/>
          <w:color w:val="000000"/>
        </w:rPr>
        <w:t xml:space="preserve"> powers under the section: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rectification of any clerical or printing errors appearing in the Laws of Kenya.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rectification of any other errors in a manner not inconsistent with the powers of revision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conferred by Chapter 1.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Attorney General does not have to invoke section 8 of the Act when preparing the annual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supplement of the Laws of Kenya. The section reads: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preparation of the annual supplement to the Laws of Kenya, the Attorney General shall have the following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powers.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 .to correct grammatical and typographical mistakes.”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Through Legal Notice number 162 of 2003 the Attorney General rectified the incorrect use of the word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repealed appearing in 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Chapter 2 by replacing it with the word “repealing”.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 General is not required to explain how the mistake occurred but it is clear to us that both limbs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section 13 do sufficiently empower him to do what he did. Firstly the mistake could have been a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printing error or an error not inconsistent with the powers conferred on him by the Act, thus without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the correction the sub-section had no meaning or would not carry the meaning intended by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legislature. This is clearly borne out by the history of Chapter 1 as outlined above and the experience of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jurisdictions with equivalent subsection such as the UK and Uganda as indicated above.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correction was not inconsistent with the Act and it did not change the substance of the law but instead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correction resulted in the meaning intended by the legislature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true meaning of the subsection. It did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redefine any offence or create any new offence or impose another penalty for example.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rectification did not </w:t>
      </w:r>
      <w:proofErr w:type="spellStart"/>
      <w:r>
        <w:rPr>
          <w:rFonts w:ascii="Times New Roman" w:hAnsi="Times New Roman" w:cs="Times New Roman"/>
          <w:color w:val="000000"/>
        </w:rPr>
        <w:t>effect</w:t>
      </w:r>
      <w:proofErr w:type="spellEnd"/>
      <w:r>
        <w:rPr>
          <w:rFonts w:ascii="Times New Roman" w:hAnsi="Times New Roman" w:cs="Times New Roman"/>
          <w:color w:val="000000"/>
        </w:rPr>
        <w:t xml:space="preserve"> any changes to the existing law because if it did separate enactment by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would have been necessary.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is satisfied that there was an error. This distinguishes the case before the court with that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prevailing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Jaramogi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Oginga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Odinga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Electoral Commission </w:t>
      </w:r>
      <w:r>
        <w:rPr>
          <w:rFonts w:ascii="Times New Roman" w:hAnsi="Times New Roman" w:cs="Times New Roman"/>
          <w:color w:val="000000"/>
        </w:rPr>
        <w:t>High Court civil case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5936 of 1992 where 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 took the view that there was no error in the word “less” and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purported rectification under section 13 of the Revision Act Chapter 1 by the Attorney General was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sneaked in mischievously. The revision gave a completely different meaning to what the legislature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intended, it gave the opposition parties less time to prepare for the General Elections, whereas the section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only intended to provide for a minimum. The position in this case is different in that without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correction the subsection lacks the intended meaning.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on Interpretation of Statutes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Quite apart from the powers conferred on the Attorney General under section 13 of the Revision Act this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would have power to correctly interpret the relevant section so as to give effect to the intention of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legislature. Thus, in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The King v Vasey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Lally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 KB 750 the court quoting from </w:t>
      </w:r>
      <w:r>
        <w:rPr>
          <w:rFonts w:ascii="Times New Roman" w:hAnsi="Times New Roman" w:cs="Times New Roman"/>
          <w:i/>
          <w:iCs/>
          <w:color w:val="000000"/>
        </w:rPr>
        <w:t>Maxwell On The Interpretation of Statutes</w:t>
      </w:r>
      <w:r w:rsidR="00661B3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(3ed), at 34 observed as follows: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the language of a statute is in its ordinary meaning and grammatical construction, leads to a manifest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contradiction of the apparent purpose of the enactment or to some inconvenience or absurdity, hardship or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injustice, presumably not intended, a construction may be put upon it which modifies the meaning of the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words and even the structure of the sentence.”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author at 750 adds: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court will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endevour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give some meaning to the section and will not allow the error of the draftsman to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destroy the clear intention of the Legislature.”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 in </w:t>
      </w:r>
      <w:r>
        <w:rPr>
          <w:rFonts w:ascii="Times New Roman" w:hAnsi="Times New Roman" w:cs="Times New Roman"/>
          <w:i/>
          <w:iCs/>
          <w:color w:val="000000"/>
        </w:rPr>
        <w:t xml:space="preserve">Maxwell on Interpretation of Statutes </w:t>
      </w:r>
      <w:r>
        <w:rPr>
          <w:rFonts w:ascii="Times New Roman" w:hAnsi="Times New Roman" w:cs="Times New Roman"/>
          <w:color w:val="000000"/>
        </w:rPr>
        <w:t>(12ed) at 231 it is stated: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“Sometimes where the sense of statute demands it or where there has been an obvious mistake in drafting, a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will be prepared to substitute another word or phrase for that which actually appears in the text of the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 there is a general presumption against absurdity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Halsburys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Laws of England </w:t>
      </w:r>
      <w:r>
        <w:rPr>
          <w:rFonts w:ascii="Times New Roman" w:hAnsi="Times New Roman" w:cs="Times New Roman"/>
          <w:color w:val="000000"/>
        </w:rPr>
        <w:t>Volume 44(1)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1447 puts it in very clear words as under: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presumed that Parliament intends that the court, when considering, in relation to the facts of the instant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case, which of the opposing constructions of an enactment corresponds to its legal meaning, should find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a construction which produces an absurd result since this is unlikely to have been intended by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Parliament. Here absurd means contrary to sense or reason.”</w:t>
      </w:r>
      <w:r w:rsidR="00661B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meaning which the word repealed gives to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is contrary to sense or reason and this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would not be helpless even if it were to hold that the Attorney General had no powers under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13, the word “repealing” would have to be inserted under the above rules of construction as well.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4. Validity of charges brought in criminal case number 5 of 2004.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reasons set out in issues one to three above we find and hold that the charges are valid and were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brought.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5. Competency of the KACC.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contends that the Commission is not a competent authority to prepare and/or file a charge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her. However it is clear from the charge sheet before this Court that it was prepared and presented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lower court by an investigator on behalf of the Director KACC. Under section 23(1) of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Anti-Corruption Commission Act an investigator did have the powers to do so. Indeed under the section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Director and the investigator have all the powers, privileges and immunities of a police officer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set out in section 19 of the Police Act. It cannot reasonably be disputed that a police officer has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to present a charge or a complaint before a competent court. The charge was in our finding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laid before the magistrate and the applicant’s objection lacks proper legal basis and the same is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disallowed.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6. Whether a declaratory order can issue in judicial review proceedings?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we have already made a finding concerning the validity of Legal Notice 162 of 2003 of 9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October 2003 rectifying section 23(3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Interpretation and General Provisions Act Chapter 2 of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of Kenya, we must add that the declaration sought in prayer 2 of the application cannot issue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this Court’s jurisdiction under section 8 and 9 of the Law Reform Act Chapter 26 is confined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to the grant of the judicial orders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prohibition and </w:t>
      </w:r>
      <w:r>
        <w:rPr>
          <w:rFonts w:ascii="Times New Roman" w:hAnsi="Times New Roman" w:cs="Times New Roman"/>
          <w:i/>
          <w:iCs/>
          <w:color w:val="000000"/>
        </w:rPr>
        <w:t xml:space="preserve">mandamus. </w:t>
      </w:r>
      <w:r>
        <w:rPr>
          <w:rFonts w:ascii="Times New Roman" w:hAnsi="Times New Roman" w:cs="Times New Roman"/>
          <w:color w:val="000000"/>
        </w:rPr>
        <w:t>Declarations are outside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jurisdiction of this Court in judicial review. This is however superfluous in that such a declaratory</w:t>
      </w:r>
      <w:r w:rsidR="00661B30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order would in any event be unmeritorious for the reasons set out above concerning section 23(3)(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Interpretation and General Provisions Act Chapter 2.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Commanding Heights of the Law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seems to us that on the points determined in this decision the lower court is stuck concerning the way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forward. There is need for judicial vigilance in situations such as this in order to point out the way.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vigilance is justified by the fact that public law does exist to serve all the people and it must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continually be developed to meet the ever emerging eventualities and situations. The courts and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especially the High Court must never retreat from developing public law even in situations where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at hand are complex. The court must invoke the commanding heights of the law and point out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 forward. It is our hope that any perceived gap in the law has been closed by this decision by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restatement of the law.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above reasons the application is dismissed. The upshot is that the lower court is now at liberty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proceed with the trial as appropriate. As the proceedings herein sprang from a criminal process in the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below we decline to make any order as to costs.</w:t>
      </w:r>
      <w:r w:rsidR="00661B3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A2142D" w:rsidRDefault="00A2142D" w:rsidP="00A2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Amuga</w:t>
      </w:r>
      <w:proofErr w:type="spellEnd"/>
    </w:p>
    <w:p w:rsidR="00A2142D" w:rsidRDefault="00A2142D" w:rsidP="00A214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A2142D" w:rsidP="00A2142D">
      <w:r>
        <w:rPr>
          <w:rFonts w:ascii="Times New Roman" w:hAnsi="Times New Roman" w:cs="Times New Roman"/>
          <w:i/>
          <w:iCs/>
          <w:color w:val="000000"/>
        </w:rPr>
        <w:t>Informatio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2D"/>
    <w:rsid w:val="00661B30"/>
    <w:rsid w:val="00A2142D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A1073-1476-4222-8095-354A0D56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4412</Words>
  <Characters>25149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2018-07-05T08:43:00Z</dcterms:created>
  <dcterms:modified xsi:type="dcterms:W3CDTF">2018-07-11T17:51:00Z</dcterms:modified>
</cp:coreProperties>
</file>