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Kenya Bureau of Standards and others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June 2006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532/04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Civil Procedure Rules – Application brought under Order XVIII of the civil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procedure rule – Striking out paragraphs in the affidavit – Applicability of the Rule to judicial review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applications.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Exclusively principle – Definition and application of exclusivity principle.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Judicial review – Objectives and functions of the court – Effect of technical applications – Grounds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intervention by the court.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Provision for interlocutory applications.</w:t>
      </w:r>
    </w:p>
    <w:p w:rsidR="00324D97" w:rsidRDefault="00430FEE" w:rsidP="00430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324D97" w:rsidRDefault="00324D97" w:rsidP="00430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application dated 31 October 2005 and expressed to be grounded on Order XVIII, rules 3,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5, 6 and 8 of the Civil Procedure Rules and under the inherent jurisdiction of the court, section 3A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 and all, other enabling Provisions of law brought by the first Interested Party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(Intertek Testing Services International Limited), seeks to strike out and expunge from the record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paragraphs 16, 17, 19, 22 and 24 of the replying affidavit of Jean </w:t>
      </w:r>
      <w:proofErr w:type="spellStart"/>
      <w:r>
        <w:rPr>
          <w:rFonts w:ascii="Times New Roman" w:hAnsi="Times New Roman" w:cs="Times New Roman"/>
          <w:color w:val="000000"/>
        </w:rPr>
        <w:t>Spinosi</w:t>
      </w:r>
      <w:proofErr w:type="spellEnd"/>
      <w:r>
        <w:rPr>
          <w:rFonts w:ascii="Times New Roman" w:hAnsi="Times New Roman" w:cs="Times New Roman"/>
          <w:color w:val="000000"/>
        </w:rPr>
        <w:t xml:space="preserve"> sworn and filed on 13 October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2005 and secondly that all the documents contained in the exhibits annexed to the affidavit of Jean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Spinosi</w:t>
      </w:r>
      <w:proofErr w:type="spellEnd"/>
      <w:r>
        <w:rPr>
          <w:rFonts w:ascii="Times New Roman" w:hAnsi="Times New Roman" w:cs="Times New Roman"/>
          <w:color w:val="000000"/>
        </w:rPr>
        <w:t xml:space="preserve"> marked JS5 and JS6 be struck out and the applicant for judicial review, </w:t>
      </w:r>
      <w:proofErr w:type="spellStart"/>
      <w:r>
        <w:rPr>
          <w:rFonts w:ascii="Times New Roman" w:hAnsi="Times New Roman" w:cs="Times New Roman"/>
          <w:color w:val="000000"/>
        </w:rPr>
        <w:t>Bivac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SA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Bivac</w:t>
      </w:r>
      <w:proofErr w:type="spellEnd"/>
      <w:r>
        <w:rPr>
          <w:rFonts w:ascii="Times New Roman" w:hAnsi="Times New Roman" w:cs="Times New Roman"/>
          <w:color w:val="000000"/>
        </w:rPr>
        <w:t>) be prohibited from referring to them. The grounds in support of the application are set out in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of the application. At the outset exhibits “JS5” and “JS6” are alleged copies of the minutes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 Evaluation Committee and Tender Committee respectively. The overall subject matter 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procurement.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filed written submissions with a list of authorities duly paginated and highlighted on 20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2006.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interested party, </w:t>
      </w:r>
      <w:proofErr w:type="spellStart"/>
      <w:r>
        <w:rPr>
          <w:rFonts w:ascii="Times New Roman" w:hAnsi="Times New Roman" w:cs="Times New Roman"/>
          <w:color w:val="000000"/>
        </w:rPr>
        <w:t>Societe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Generale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Surveilance</w:t>
      </w:r>
      <w:proofErr w:type="spellEnd"/>
      <w:r>
        <w:rPr>
          <w:rFonts w:ascii="Times New Roman" w:hAnsi="Times New Roman" w:cs="Times New Roman"/>
          <w:color w:val="000000"/>
        </w:rPr>
        <w:t xml:space="preserve"> SA (SGS) through its counsel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430FE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Nyandieka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supports the position taken by the first Interested Party.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 the </w:t>
      </w:r>
      <w:proofErr w:type="spellStart"/>
      <w:r>
        <w:rPr>
          <w:rFonts w:ascii="Times New Roman" w:hAnsi="Times New Roman" w:cs="Times New Roman"/>
          <w:color w:val="000000"/>
        </w:rPr>
        <w:t>Bivac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(Bureau Veritas) did on 7 March 2006 in response file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skeleton arguments with a list authorities duly paginated and highlighted. Submissions were made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parties before me on 8 May 2006.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the written submissions with authorities as described above and I have also taken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account the submissions of counsel.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starting point in my view is whether the application which is expressed to be grounded on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 and Rules is procedurally competent, and secondly whether the application was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under Judicial Review jurisdiction. On this and for the sake of consistency (having given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many other rulings on the point myself) I would like to reproduce Justice </w:t>
      </w:r>
      <w:proofErr w:type="spellStart"/>
      <w:r>
        <w:rPr>
          <w:rFonts w:ascii="Times New Roman" w:hAnsi="Times New Roman" w:cs="Times New Roman"/>
          <w:color w:val="000000"/>
        </w:rPr>
        <w:t>Ringera’s</w:t>
      </w:r>
      <w:proofErr w:type="spellEnd"/>
      <w:r>
        <w:rPr>
          <w:rFonts w:ascii="Times New Roman" w:hAnsi="Times New Roman" w:cs="Times New Roman"/>
          <w:color w:val="000000"/>
        </w:rPr>
        <w:t xml:space="preserve"> findings in the case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Welamondi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Chairman Electoral Commission of Kenya </w:t>
      </w:r>
      <w:r>
        <w:rPr>
          <w:rFonts w:ascii="Times New Roman" w:hAnsi="Times New Roman" w:cs="Times New Roman"/>
          <w:color w:val="000000"/>
        </w:rPr>
        <w:t>[2002] KLR 485. I would associate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myself fully with holdings 2 and 3 which he set out as follows: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“Judicial review proceedings under Order LIII of Civil Procedure Rules are a special procedure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invoked whenever orders of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certiorari, mandamus </w:t>
      </w:r>
      <w:r>
        <w:rPr>
          <w:rFonts w:ascii="Times New Roman" w:hAnsi="Times New Roman" w:cs="Times New Roman"/>
          <w:color w:val="000000"/>
        </w:rPr>
        <w:t>or prohibition are sought in either criminal or civil proceedings.”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“In exercising powers under Order LIII, the court is exercising neither civil nor a criminal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in the strict sense of the word. It is exercising jurisdiction </w:t>
      </w:r>
      <w:r>
        <w:rPr>
          <w:rFonts w:ascii="Times New Roman" w:hAnsi="Times New Roman" w:cs="Times New Roman"/>
          <w:i/>
          <w:iCs/>
          <w:color w:val="000000"/>
        </w:rPr>
        <w:t>sui generis</w:t>
      </w:r>
      <w:r>
        <w:rPr>
          <w:rFonts w:ascii="Times New Roman" w:hAnsi="Times New Roman" w:cs="Times New Roman"/>
          <w:color w:val="000000"/>
        </w:rPr>
        <w:t>. It is therefore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incompetent to invoke the provisions of section 3A and Order </w:t>
      </w:r>
      <w:proofErr w:type="gramStart"/>
      <w:r>
        <w:rPr>
          <w:rFonts w:ascii="Times New Roman" w:hAnsi="Times New Roman" w:cs="Times New Roman"/>
          <w:color w:val="000000"/>
        </w:rPr>
        <w:t>I</w:t>
      </w:r>
      <w:proofErr w:type="gramEnd"/>
      <w:r>
        <w:rPr>
          <w:rFonts w:ascii="Times New Roman" w:hAnsi="Times New Roman" w:cs="Times New Roman"/>
          <w:color w:val="000000"/>
        </w:rPr>
        <w:t>, rule 8 of the Civil Procedure Act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Rules and sections 42, 79 and 80 of the Constitution of Kenya.”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that to the extent the application has invoked the Civil Procedure jurisdiction the application 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and ought to be thrown out on this ground alone. However the applicant has also invoked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inherent power of this Court. Obviously it is perfectly in order to invoke the jurisdiction especially in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situations where no specific procedure has been provided by the parent Act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Law Reform Act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26) of the Laws of Kenya or Order LIII on Judicial review. But is it right, logical or proper for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Court’s inherent power to be invoked so as to apply the provisions of the Civil Procedure and Rules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contents of affidavits where Parliament has provided for what in many ways is an exclusive means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access the remedies of </w:t>
      </w:r>
      <w:proofErr w:type="gramStart"/>
      <w:r>
        <w:rPr>
          <w:rFonts w:ascii="Times New Roman" w:hAnsi="Times New Roman" w:cs="Times New Roman"/>
          <w:color w:val="000000"/>
        </w:rPr>
        <w:t>Judicial</w:t>
      </w:r>
      <w:proofErr w:type="gramEnd"/>
      <w:r>
        <w:rPr>
          <w:rFonts w:ascii="Times New Roman" w:hAnsi="Times New Roman" w:cs="Times New Roman"/>
          <w:color w:val="000000"/>
        </w:rPr>
        <w:t xml:space="preserve"> orders? The answer to this is a clear “No” because Judicial Review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is a special jurisdiction and was from its introduction intended to remain special and set apart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other jurisdiction including the civil procedure jurisdiction. Even in other comparable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jurisdictions, it is invoked under special rules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 Judicial Review Acts and Rules. In my view it was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to encourage the development of public law. In order to do this it was absolutely necessary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eliminate the technicalities inherent in the civil procedure which had contributed substantially in slowing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the civil procedure matters. For example the requirement of a prior application for leave to be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by full and candid affidavits verifying the facts relied on is an important safeguard against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groundless or </w:t>
      </w:r>
      <w:proofErr w:type="spellStart"/>
      <w:r>
        <w:rPr>
          <w:rFonts w:ascii="Times New Roman" w:hAnsi="Times New Roman" w:cs="Times New Roman"/>
          <w:color w:val="000000"/>
        </w:rPr>
        <w:t>unmeritous</w:t>
      </w:r>
      <w:proofErr w:type="spellEnd"/>
      <w:r>
        <w:rPr>
          <w:rFonts w:ascii="Times New Roman" w:hAnsi="Times New Roman" w:cs="Times New Roman"/>
          <w:color w:val="000000"/>
        </w:rPr>
        <w:t xml:space="preserve"> claims that a particular decision is for example a nullity. Also the requirement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leave to apply for </w:t>
      </w:r>
      <w:r>
        <w:rPr>
          <w:rFonts w:ascii="Times New Roman" w:hAnsi="Times New Roman" w:cs="Times New Roman"/>
          <w:i/>
          <w:iCs/>
          <w:color w:val="000000"/>
        </w:rPr>
        <w:t>certiorari t</w:t>
      </w:r>
      <w:r>
        <w:rPr>
          <w:rFonts w:ascii="Times New Roman" w:hAnsi="Times New Roman" w:cs="Times New Roman"/>
          <w:color w:val="000000"/>
        </w:rPr>
        <w:t>o quash a decision must be made within a limited period after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impugned decision was made (in our situation Order LIII, rule 2 of the period is 6 months) – see </w:t>
      </w:r>
      <w:r>
        <w:rPr>
          <w:rFonts w:ascii="Times New Roman" w:hAnsi="Times New Roman" w:cs="Times New Roman"/>
          <w:i/>
          <w:iCs/>
          <w:color w:val="000000"/>
        </w:rPr>
        <w:t>O’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Reilly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[1983] 2 AC 237 per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at 281 is clearly another inbuilt safeguard.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English position is that an applicant can only impugn a decision within three months of its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making. Obviously the reasons for the short limitations are based on the need to instill promptness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speedy finality so as not to interfere with the needs of good public administration in the target bodies or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makers. The purpose of Order LIII was in my view to provide a clear and flexible procedure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conducive to the attainment of administrative justice with the special attributes of speed,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effectiveness and finality. Where there is a convergence of possible breach of private and public rights an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has to choose how to approach the court depending on which is the dominant relief sought.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add on to </w:t>
      </w:r>
      <w:r>
        <w:rPr>
          <w:rFonts w:ascii="Times New Roman" w:hAnsi="Times New Roman" w:cs="Times New Roman"/>
          <w:i/>
          <w:iCs/>
          <w:color w:val="000000"/>
        </w:rPr>
        <w:t xml:space="preserve">sui generis </w:t>
      </w:r>
      <w:r>
        <w:rPr>
          <w:rFonts w:ascii="Times New Roman" w:hAnsi="Times New Roman" w:cs="Times New Roman"/>
          <w:color w:val="000000"/>
        </w:rPr>
        <w:t xml:space="preserve">principle touched on by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Welamondi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 wish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 that to a very large extent judicial review jurisdiction is exclusive as discussed in the case of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O’Reilly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it would be useful for this Court to restate the principle so that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 minefields are not imported from elsewhere (civil procedure process) into judicial review.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illustrate why the principle of exclusivity is important, under the Civil Procedure, the issue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disputed documents could be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291 of [2006] 2 EA 286 (HCK)</w:t>
      </w:r>
      <w:r w:rsidR="00430FEE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resolved for example by a Notice to admit or a Notice to produce, discovery or interrogatories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, but it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evident that the applicant did not resort to any of the methods because in public law the objectives go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mere proof of particular facts or documents and very often it is a challenge of the decision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process itself or the lack of jurisdiction in making the decision. Sometimes the challenge is, how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was arrived at and the ultimate decision of a judicial review court could turn on the presence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absence of a particular document or documents or on their meaning or validity. In such situations it 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proper that that ultimate decisions be made at the final stage of the proceedings. Any challenge to a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document or documents in advance would literally mean putting the cart before the horse.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objectives of judicial review would in my view be defeated by technical objections on form, content,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annexures, or blind applications of rules on striking out or expunging of contents of affidavits or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thereof. In my view the overall objectives of judicial review are much wider and go beyond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intended to serve the Civil Procedure jurisdiction in many ways.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for this reason that I would like to set out the </w:t>
      </w:r>
      <w:proofErr w:type="spellStart"/>
      <w:r>
        <w:rPr>
          <w:rFonts w:ascii="Times New Roman" w:hAnsi="Times New Roman" w:cs="Times New Roman"/>
          <w:color w:val="000000"/>
        </w:rPr>
        <w:t>exclusivety</w:t>
      </w:r>
      <w:proofErr w:type="spellEnd"/>
      <w:r>
        <w:rPr>
          <w:rFonts w:ascii="Times New Roman" w:hAnsi="Times New Roman" w:cs="Times New Roman"/>
          <w:color w:val="000000"/>
        </w:rPr>
        <w:t xml:space="preserve"> principle. Stated simply the principle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that judicial review provides exclusive means by which, public matters can be challenged in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courts. While the principle does permit very rare exceptions the facts of this case take it out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exceptions.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the applicant desires a technical knock-out of some challenged or impugned documents using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 which were largely designed for the Civil Procedure process. An early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validity or otherwise of the documents would most likely finally end the matter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any contest on merit. I wish to reproduce the formulation of the principle by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in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O’Reilly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285E: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would in my view as a general rule, be contrary to public policy, and as such an abuse of the process of the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to permit a person seeking to establish that a decision of a public authority infringed rights to which 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entitled to protection under public law to proceed by way of an ordinary action and by this means evade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of Order 53 for the protection of such authorities.”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why the Order XVIII challenge on affidavits must be rejected. Thus, a respondent cannot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allowed to use means that are strange to or outside the judicial review to impair the court’s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ability to review the decision making process without any fetters or hindrance. If the Civil Procedure Act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Rules do not apply to judicial review (see Court of Appeal decision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Special District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for Kisumu </w:t>
      </w:r>
      <w:r>
        <w:rPr>
          <w:rFonts w:ascii="Times New Roman" w:hAnsi="Times New Roman" w:cs="Times New Roman"/>
          <w:color w:val="000000"/>
        </w:rPr>
        <w:t>[1989] LLR 1649 (CAK), Order XVIII on affidavits would not also apply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singled out for application. In this, I wish to observe that for the sake of the principle of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certainty of law – there is merit in the courts being either consistently wrong or consistently right!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 and Rules cannot be applied selectively when it is convenient. In my view, Order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XLII on appeals does not apply because it refers to “prerogative orders” which were abolished on 18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1956 by the Law Reform Act (Chapter 26) section 8(1).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therefore, disallow the challenge on this principle as well.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in England, before the 1977 legislative changes which removed the perceived disadvantages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 bottlenecks in judicial review, it was not possible for an administrative court to order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discovery for example. An Administrative court for example is hardly required, on the issue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lower court to rely on facts for the purpose of determining where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excess of jurisdiction or lack of it. In my view if such an important built in procedural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evidential safeguard as discovery was not possible and is still not possible under our current law an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to strike out an affidavit or paragraphs thereof, ought not to be allowed. In the matter before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 and strictly on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and guarding myself from in any way finally adjudicating on any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finally, the paragraphs intended to be struck out, appear to constitute the heart of the challenge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making process as set out in the main application so that if the court were to intervene at this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stage, after having granted leave for the entire application to be heard on merit the court shall literally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sat on appeal as regards the matters raised in the paragraphs and shall be compelled to sever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to go into the merits and adjudicate on parts of it before the actual application for judicial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is heard. The inherent jurisdiction of the court should not be used to frustrate hearings on merit or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create technical hurdle sin judicial review or to open the floodgates of technicalities or unnecessarily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 procedural minefields in this special jurisdiction. Granted that it might not be desirable to have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standards of affidavits in the entire court system the overriding concern of the court should in my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 be to </w:t>
      </w:r>
      <w:proofErr w:type="spellStart"/>
      <w:r>
        <w:rPr>
          <w:rFonts w:ascii="Times New Roman" w:hAnsi="Times New Roman" w:cs="Times New Roman"/>
          <w:color w:val="000000"/>
        </w:rPr>
        <w:t>endevour</w:t>
      </w:r>
      <w:proofErr w:type="spellEnd"/>
      <w:r>
        <w:rPr>
          <w:rFonts w:ascii="Times New Roman" w:hAnsi="Times New Roman" w:cs="Times New Roman"/>
          <w:color w:val="000000"/>
        </w:rPr>
        <w:t xml:space="preserve"> to attain the overall objectives of the judicial review jurisdiction which in most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is the court’s ability to identify the challenged decision or to trace it without any hindrance in order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determine any alleged illegality, irrationality or impropriety. For example it is not clear what prejudice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would suffer in articulating its entire case in the main application and for this reason also, I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no good reason for bogging down judicial review with applications based on technicalities of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before the actual hearing. I see no good reason why the court should not deal with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affidavits as they are in the main application and any challenges on the validity of the affidavits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at that stage. To demonstrate the importance of what I have stated above I would like to cite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Secretary of State for Home Department ex parte Khawaja </w:t>
      </w:r>
      <w:r>
        <w:rPr>
          <w:rFonts w:ascii="Times New Roman" w:hAnsi="Times New Roman" w:cs="Times New Roman"/>
          <w:color w:val="000000"/>
        </w:rPr>
        <w:t>[1984] AC 74 where an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immigration decision was challenged under judicial review jurisdiction: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immigration officer, whether at the stage of entry or at that of removal, has to consider a complex of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rules and non-statutory guidelines. He has to act upon documentary evidence and such other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as inquiries may provide. Often there will be documents whose genuineness is doubtful, statements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cannot be verified, misunderstandings as to what was said practices and attitudes in a foreign state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have to be estimated. There is room for appreciation, even discretion. The Divisional Court, on the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hand, on judicial review of a decision to remove and detain, is very differently situated. It considers the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on affidavit evidence, as to which cross-examination, though available does not take place in practice. It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as this case well exemplifies, not in a position to find out the truth between conflicting statements – did the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receive notes, did he read them, was he capable of understanding them, what exactly took place at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point of entry? Nor is it in a position to weigh the materiality of personal or other factors present, or not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present, or partially present, to the mind of the immigration authorities. It cannot possibly act as, in effect, a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Appeal as to the facts on which the immigration officer decided. What it is able to do, and this is the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 of its powers, is to see whether there was evidence on which the immigration officer, acting reasonably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decide as he did.”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is a quotation of Lord Wilberforce.”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same way this Court declines to adjudicate on admissibility, relevance or the genuineness of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offered by both parties at this stage by slavishly following the technicalities or the hangover of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process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prefers to leave this aspect to the court, dealing with the judicial review application on merit. The court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denied the opportunity of dealing with the disputed documents in whatever state they are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in, and deciding at that stage how they impact or affect the impugned decision or on the entire case.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Exercising that judgment at this stage would in my view result in a serious miscarriage of justice.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Excluding the annexures as suggested would result in pre-judging the entire matter in advance.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grounds for intervention which I have often called the three “I’s” are illegality, irrationality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impropriety of procedure. Thus, if the intervention is based on alleged impropriety of procedure, by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or expunging documents on whatever procedural reason might deny the court of a proper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grasp or appreciation of the alleged impropriety.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it is tempting to worship at the altar of technicalities, the court must resist the temptation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focus on the objectives of judicial review, because at the end of the day at the second stage of the hearing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merit the court holds all the cards and for example if a party deliberately refuses to make a full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disclosure he shall have done so at his risk because the court expects full cooperation from the targeted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bodies, applicants, as well as from interested or affected parties. In </w:t>
      </w:r>
      <w:r>
        <w:rPr>
          <w:rFonts w:ascii="Times New Roman" w:hAnsi="Times New Roman" w:cs="Times New Roman"/>
          <w:i/>
          <w:iCs/>
          <w:color w:val="000000"/>
        </w:rPr>
        <w:t>Fothergill v Monarch Airlines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 xml:space="preserve">[1981] AC 251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had this to say concerning the cooperation and the common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partnership between the court and the parties including the challenged bodies: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when it is engaged in reviewing the legality of administrative action, is doing so as mediator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 state in the exercise of its legislative power and the private citizens for whom the law made by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constitutes a rule binding upon him and enforceable by the executive power of the state.”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Lancashre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County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Coucil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 parte Huddles On </w:t>
      </w:r>
      <w:r>
        <w:rPr>
          <w:rFonts w:ascii="Times New Roman" w:hAnsi="Times New Roman" w:cs="Times New Roman"/>
          <w:color w:val="000000"/>
        </w:rPr>
        <w:t>[1986] 2 All ER 941 Donaldson MR referred to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modern judicial review as: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new relationship between the courts and those who derive their authority from the public law, one of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partnership based on a common aim, namely the maintenance of the highest standards of public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administration.”</w:t>
      </w:r>
      <w:r w:rsidR="00430F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therefore clear that in the exercise of this jurisdiction the court expects and demands much more than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affidavits and the duty of cooperation ensures that the overall objectives of judicial review, so well stated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Donaldson are met. To add my own thoughts concerning the future and which have nothing to do with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of this case at all because I have already stated them in my recent ruling in the case </w:t>
      </w:r>
      <w:r>
        <w:rPr>
          <w:rFonts w:ascii="Times New Roman" w:hAnsi="Times New Roman" w:cs="Times New Roman"/>
          <w:i/>
          <w:iCs/>
          <w:color w:val="000000"/>
        </w:rPr>
        <w:t>R v Kaka</w:t>
      </w:r>
      <w:r w:rsidR="00430FE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Nzoka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miscellaneous civil application number 1217 of 2003. On the horizon I can clearly </w:t>
      </w:r>
      <w:proofErr w:type="spellStart"/>
      <w:r>
        <w:rPr>
          <w:rFonts w:ascii="Times New Roman" w:hAnsi="Times New Roman" w:cs="Times New Roman"/>
          <w:color w:val="000000"/>
        </w:rPr>
        <w:t>visualise</w:t>
      </w:r>
      <w:proofErr w:type="spellEnd"/>
      <w:r>
        <w:rPr>
          <w:rFonts w:ascii="Times New Roman" w:hAnsi="Times New Roman" w:cs="Times New Roman"/>
          <w:color w:val="000000"/>
        </w:rPr>
        <w:t xml:space="preserve"> a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Information Act that shall usher in a more open government public authorities and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institutions. When that time arrives judicial review jurisdiction shall have a leading role in ensuring that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openness is achieved and maintained. It has a continuing role of enhancing democracy, public morality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public interest.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permit me to state that there is need for a judicial review court to be broadminded in order to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allow the fullest vindication of the rule of law. Even in the context of this application which 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pegged on documents, their source, veracity, validity, admissibility or relevance, I predict a much wider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scope or role of the judicial review jurisdiction which transcends these concepts. Pending any future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legislation touching on freedom of information I see Government and other public authorities being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increasingly challenged to maintain good governance, accountability and transparency even in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field because as servants of the people they hold that information in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order to advance the public interest. It is a moot point whether any such challenge can succeed in the face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our current law and the courts have to scratch their hands! I see a great role for judicial review in this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area so as to achieve the great public interest of an open government and public authorities. Our thoughts,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law and our jurisprudence must gravitate towards these goals sooner rather than later. In this role the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consolation is that we only have the procedural chains to loose!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above reasons the application is dismissed with costs in the cause.</w:t>
      </w:r>
      <w:r w:rsidR="00430F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so ordered.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interested party:</w:t>
      </w:r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Nyandieka</w:t>
      </w:r>
      <w:proofErr w:type="spellEnd"/>
    </w:p>
    <w:p w:rsidR="00324D97" w:rsidRDefault="00324D97" w:rsidP="00324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E7594" w:rsidRDefault="00324D97" w:rsidP="00324D9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97"/>
    <w:rsid w:val="00324D97"/>
    <w:rsid w:val="00430FEE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C2ED-BA0A-423B-97E5-783AA343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2018-07-05T08:46:00Z</dcterms:created>
  <dcterms:modified xsi:type="dcterms:W3CDTF">2018-07-11T17:45:00Z</dcterms:modified>
</cp:coreProperties>
</file>