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Kiambu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Dandora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Farmers Ltd and another</w:t>
      </w:r>
    </w:p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January 1974</w:t>
      </w:r>
    </w:p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46/1973 (23/74)</w:t>
      </w:r>
    </w:p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and Kneller JJ</w:t>
      </w:r>
    </w:p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168BC" w:rsidRDefault="004168BC" w:rsidP="0041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Failure to file annual return – Not laid within twelve</w:t>
      </w:r>
      <w:r w:rsidR="00CF18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months – Whether charge maintainable – Criminal Procedure Code, s. </w:t>
      </w:r>
      <w:r>
        <w:rPr>
          <w:rFonts w:ascii="Times New Roman" w:hAnsi="Times New Roman" w:cs="Times New Roman"/>
          <w:color w:val="000000"/>
        </w:rPr>
        <w:t>219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</w:rPr>
        <w:t xml:space="preserve">Companies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Cap.</w:t>
      </w:r>
      <w:r w:rsidR="00CF18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486),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127, 395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4168BC" w:rsidRDefault="00CF18BD" w:rsidP="00CF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168BC" w:rsidRDefault="004168BC" w:rsidP="00CF1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Dandora</w:t>
      </w:r>
      <w:proofErr w:type="spellEnd"/>
      <w:r>
        <w:rPr>
          <w:rFonts w:ascii="Times New Roman" w:hAnsi="Times New Roman" w:cs="Times New Roman"/>
          <w:color w:val="000000"/>
        </w:rPr>
        <w:t xml:space="preserve"> Farmers Co. Ltd.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nine men (including Mr. </w:t>
      </w:r>
      <w:proofErr w:type="spellStart"/>
      <w:r>
        <w:rPr>
          <w:rFonts w:ascii="Times New Roman" w:hAnsi="Times New Roman" w:cs="Times New Roman"/>
          <w:color w:val="000000"/>
        </w:rPr>
        <w:t>Keingati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Waiharo</w:t>
      </w:r>
      <w:proofErr w:type="spellEnd"/>
      <w:r>
        <w:rPr>
          <w:rFonts w:ascii="Times New Roman" w:hAnsi="Times New Roman" w:cs="Times New Roman"/>
          <w:color w:val="000000"/>
        </w:rPr>
        <w:t>) said to be its officers were charged (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) with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failing, contra ss. 127 and 395 of the Companies Act (Cap. 486), within 42 days of the company’s first or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general meeting for the year 1970, to file a copy of its annual return for that year as s. 125 of the Act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demands. The trial proceeded in the ordinary way and, in due course, was adjourned so that the trial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might prepare his judgment. At about this time, it occurred to the magistrate that the charge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timeously laid, for when he read his judgment he expressed himself thus in a passage which we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feel we should now reproduce: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In the absence of evidence and the necessary proof that accused 2, 4, 5, 6, 7, 8, 9 and 10 are in fact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officers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Kiambu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Dandora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Farmers Company Ltd. I find each of them not guilty . . . and acquit them.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leaves the company and accused 3 [Mr.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Keingati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Waiharo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 . . . [who] are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charged with failing to deliver an Annual Return to the Registrar of Companies by 23 March 1971 in respect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year 1970 in contravention of s. 127 (1) of the Companies Act punishable by s. 395 of the Act. This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 section is subject to s. 219 of the Criminal Procedure Code since the section carries no punishment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imprisonment and the maximum fine is only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100/- although cumulative. I hold however that the court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must act on the basic fine and disregard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licence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given to it under the term ‘default fine’. This intention is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 when reference is made to s. 397 (2) of the Companies Act wherein the Registrar may file proceedings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 of time provided a certificate is lodged with the trial court indicating the date on which the offence first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became apparent to him. No such certificate has been lodged and the date of the offence is given as 23 March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1971. The court record indicates that the case was filed on the 11 June 1973 and the charge sheet signed by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Registrar on 7 June 1973. It is clear from this that the case was time expired . . . when laid before the court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in the circumstances should not have been accepted. I find myself in a difficult position holding the view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trial is a nullity . . . and I make no order in respect of the company or the accused.”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magistrate’s decision was conveyed to the Registrar of Companies, the finding as to limitation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disturbed him and he asked whether this court would, in the exercise of the power conferred by s. 362 of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Procedure Code, consider its correctness. The single judge, having satisfied himself that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proceedings in the court below were in the nature of a criminal cause or matter: see </w:t>
      </w:r>
      <w:r>
        <w:rPr>
          <w:rFonts w:ascii="Times New Roman" w:hAnsi="Times New Roman" w:cs="Times New Roman"/>
          <w:i/>
          <w:iCs/>
          <w:color w:val="000000"/>
        </w:rPr>
        <w:t>R. v. Tyler</w:t>
      </w:r>
      <w:r>
        <w:rPr>
          <w:rFonts w:ascii="Times New Roman" w:hAnsi="Times New Roman" w:cs="Times New Roman"/>
          <w:color w:val="000000"/>
        </w:rPr>
        <w:t>, [1891] 2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Q.B. 588, called for the record, being of the opinion that the point was a novel one, of importance in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law, and no opportunity had been afforded, as should have been done, for it to be argued in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court. Let us now consider the validity of the Registrar’s complaint, and, as three particular statutory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must be consulted, let us first set them out.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219 of the Criminal Procedure Code provides: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“Except where a longer time is specially allowed by law, no offence the maximum punishment for which does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exceed imprisonment for six months or a fine of one thousand shillings or both such imprisonment and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fine shall be triable by a subordinate court, unless the charge or complaint relating to it is laid within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twelve months from the time when the matter of such charge or complaint arose.”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127 of the Companies Act insofar as we need set it out says: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annual return shall be completed within forty-two days after the annual general meeting for the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year . . . and the company shall within such period deliver to the registrar a copy signed both by a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director and by the secretary of the company.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If the company fails to comply with this section, the company and every officer of the company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 is in default shall be liable to a default fine.”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s. 395 (1) of this same Act reads: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“Where, by any section of the Act, it is provided that a company and every officer of the company who is in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default shall be liable to a default fine, the company and every officer shall, for every day during which the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default refusal or contravention continues be liable to a fine not exceeding such amount as is specified in such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section, or, if the amount of the fine is not so specified to a fine not exceeding one hundred shillings.”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219 is simply and clearly worded. It applies, and can only apply (subject to the stated exception) where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a maximum punishment by way of fine – we are not now concerned with imprisonment –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1,000/-. For its part, s. 127 (2)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admits of no ambiguity either. It says, and says simply enough, that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punishment which it provides is a default fine. It is, in relation to s. 127 (1) its punishment section. So far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are here concerned, what s. 395 does is to make provision, as its marginal note declares, “with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to default fines . . .” i.e. to provide how such fines should be arrived at. As s. 127 (2)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provides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no maximum punishment it is not, to use the magistrate’s expression, “subject to” s. 219. Nor can s.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397 (2) be prayed in aid of the magistrate’s view. It provides that: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Proceedings in respect of any offence under the Act may, notwithstanding anything to the contrary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contained in the Criminal Procedure Code be taken by the Attorney-General or by the registrar at any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within twelve months from the date on which evidence sufficient in the opinion of the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Attorney-General or the registrar, as the case may be, to justify the proceedings comes to the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knowledge of the Attorney-General or the registrar as the case may be . . .”</w:t>
      </w:r>
      <w:r w:rsidR="00CF18B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does no more than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there are offences which might not readily attract official attention,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as s. 110 which concerns itself with publications made by companies concerning their share capital,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so, because of the maximum punishment set might otherwise, as a result of s. 219 go unpunished. It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no relevance to a charge such as that with which we are now concerned. We have no doubt that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in the court below were lodged in due time and that we must alter or reverse the order or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which the magistrate made. But what order or orders did he make?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will be recalled that in the judgment, the magistrate acquitted eight of the nine alleged officers of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before he declared the proceedings to be a nullity. But if the proceedings were a nullity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 were never in jeopardy and acquittals were unnecessary. On the other hand, if the proceedings were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 nullity, and they were not, even if the charge laid before the court stood no chance of success,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and Mr. </w:t>
      </w:r>
      <w:proofErr w:type="spellStart"/>
      <w:r>
        <w:rPr>
          <w:rFonts w:ascii="Times New Roman" w:hAnsi="Times New Roman" w:cs="Times New Roman"/>
          <w:color w:val="000000"/>
        </w:rPr>
        <w:t>Waiharo</w:t>
      </w:r>
      <w:proofErr w:type="spellEnd"/>
      <w:r>
        <w:rPr>
          <w:rFonts w:ascii="Times New Roman" w:hAnsi="Times New Roman" w:cs="Times New Roman"/>
          <w:color w:val="000000"/>
        </w:rPr>
        <w:t xml:space="preserve"> should either have been convicted or acquitted. One cannot leave proceedings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vacuo</w:t>
      </w:r>
      <w:proofErr w:type="spellEnd"/>
      <w:r>
        <w:rPr>
          <w:rFonts w:ascii="Times New Roman" w:hAnsi="Times New Roman" w:cs="Times New Roman"/>
          <w:color w:val="000000"/>
        </w:rPr>
        <w:t xml:space="preserve">. The magistrate says that he did nothing concerning the company and Mr. </w:t>
      </w:r>
      <w:proofErr w:type="spellStart"/>
      <w:r>
        <w:rPr>
          <w:rFonts w:ascii="Times New Roman" w:hAnsi="Times New Roman" w:cs="Times New Roman"/>
          <w:color w:val="000000"/>
        </w:rPr>
        <w:t>Waiharo</w:t>
      </w:r>
      <w:proofErr w:type="spellEnd"/>
      <w:r>
        <w:rPr>
          <w:rFonts w:ascii="Times New Roman" w:hAnsi="Times New Roman" w:cs="Times New Roman"/>
          <w:color w:val="000000"/>
        </w:rPr>
        <w:t>, i.e. that 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no orders against them, but he nonetheless did make an order, or must be taken to have made an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order, belatedly, to reject the charge, presumably in exercise of the power conferred by s. 89 (5) of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Code on the ground that it should never have been admitted in the first place, and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the further order that the two accused be discharged. It is at least doubtful if the subsection could so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be used for it provides for “an order refusing to admit such complaint or formal charge” and the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had been admitted, but assuming the power to reject to have been there, it was not, upon the law,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exercising.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reverse the magistrate’s orders. He is now required to make such order or orders as are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conformable with our decision.</w:t>
      </w:r>
      <w:r w:rsidR="00CF18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4168BC" w:rsidRDefault="004168BC" w:rsidP="0041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4168BC" w:rsidRDefault="004168BC" w:rsidP="0041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Dourado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p w:rsidR="00664035" w:rsidRDefault="004168BC" w:rsidP="004168BC">
      <w:r>
        <w:rPr>
          <w:rFonts w:ascii="Times New Roman" w:hAnsi="Times New Roman" w:cs="Times New Roman"/>
          <w:color w:val="000000"/>
        </w:rPr>
        <w:t xml:space="preserve">The respondents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were absent and unrepresented.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BC"/>
    <w:rsid w:val="004168BC"/>
    <w:rsid w:val="00664035"/>
    <w:rsid w:val="00C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F4A7-96A9-4441-AFD3-6C3ED0B1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2018-07-05T13:00:00Z</dcterms:created>
  <dcterms:modified xsi:type="dcterms:W3CDTF">2018-07-11T17:42:00Z</dcterms:modified>
</cp:coreProperties>
</file>